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54FB4895" w:rsidR="00904427" w:rsidRPr="00904427" w:rsidRDefault="00D26C3B" w:rsidP="00AD2F30">
      <w:pPr>
        <w:pStyle w:val="Heading2"/>
        <w:ind w:firstLine="720"/>
        <w:rPr>
          <w:sz w:val="32"/>
          <w:szCs w:val="32"/>
        </w:rPr>
      </w:pPr>
      <w:r>
        <w:rPr>
          <w:sz w:val="28"/>
          <w:szCs w:val="28"/>
        </w:rPr>
        <w:t>Deborah Gill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34D76644" w:rsidR="582D06AA" w:rsidRDefault="063FF700" w:rsidP="00DB1939">
            <w:r>
              <w:t>[</w:t>
            </w:r>
            <w:r w:rsidR="00D26C3B" w:rsidRPr="002D1066">
              <w:rPr>
                <w:rFonts w:cstheme="minorHAnsi"/>
                <w:b/>
                <w:bCs/>
                <w:noProof/>
              </w:rPr>
              <w:drawing>
                <wp:inline distT="0" distB="0" distL="0" distR="0" wp14:anchorId="467AFC72" wp14:editId="77336EA9">
                  <wp:extent cx="1288320" cy="1848256"/>
                  <wp:effectExtent l="0" t="0" r="0" b="0"/>
                  <wp:docPr id="4" name="Picture 3">
                    <a:extLst xmlns:a="http://schemas.openxmlformats.org/drawingml/2006/main">
                      <a:ext uri="{FF2B5EF4-FFF2-40B4-BE49-F238E27FC236}">
                        <a16:creationId xmlns:a16="http://schemas.microsoft.com/office/drawing/2014/main" id="{689C39EC-EFB2-4748-B248-5CBAFA131DA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89C39EC-EFB2-4748-B248-5CBAFA131DA6}"/>
                              </a:ext>
                            </a:extLst>
                          </pic:cNvPr>
                          <pic:cNvPicPr/>
                        </pic:nvPicPr>
                        <pic:blipFill rotWithShape="1">
                          <a:blip r:embed="rId10" cstate="print">
                            <a:extLst>
                              <a:ext uri="{28A0092B-C50C-407E-A947-70E740481C1C}">
                                <a14:useLocalDpi xmlns:a14="http://schemas.microsoft.com/office/drawing/2010/main" val="0"/>
                              </a:ext>
                            </a:extLst>
                          </a:blip>
                          <a:srcRect l="23911" r="28715"/>
                          <a:stretch/>
                        </pic:blipFill>
                        <pic:spPr>
                          <a:xfrm>
                            <a:off x="0" y="0"/>
                            <a:ext cx="1311595" cy="1881647"/>
                          </a:xfrm>
                          <a:prstGeom prst="rect">
                            <a:avLst/>
                          </a:prstGeom>
                        </pic:spPr>
                      </pic:pic>
                    </a:graphicData>
                  </a:graphic>
                </wp:inline>
              </w:drawing>
            </w:r>
            <w:r>
              <w:t>]</w:t>
            </w:r>
          </w:p>
        </w:tc>
        <w:tc>
          <w:tcPr>
            <w:tcW w:w="6469" w:type="dxa"/>
            <w:vAlign w:val="center"/>
          </w:tcPr>
          <w:p w14:paraId="55E77259" w14:textId="2CB699A8" w:rsidR="07F49568" w:rsidRDefault="00D26C3B" w:rsidP="7FB932B3">
            <w:pPr>
              <w:spacing w:line="259" w:lineRule="auto"/>
              <w:rPr>
                <w:rFonts w:ascii="Calibri" w:eastAsia="Calibri" w:hAnsi="Calibri" w:cs="Calibri"/>
                <w:b/>
                <w:bCs/>
              </w:rPr>
            </w:pPr>
            <w:r>
              <w:rPr>
                <w:rFonts w:ascii="Calibri" w:eastAsia="Calibri" w:hAnsi="Calibri" w:cs="Calibri"/>
                <w:b/>
                <w:bCs/>
              </w:rPr>
              <w:t>Professor Deborah Gill</w:t>
            </w:r>
          </w:p>
          <w:p w14:paraId="20A3EB83" w14:textId="77777777" w:rsidR="00D26C3B" w:rsidRDefault="7FB932B3">
            <w:pPr>
              <w:rPr>
                <w:rFonts w:cstheme="minorHAnsi"/>
                <w:bCs/>
              </w:rPr>
            </w:pPr>
            <w:r w:rsidRPr="7FB932B3">
              <w:rPr>
                <w:rFonts w:ascii="Calibri" w:eastAsia="Calibri" w:hAnsi="Calibri" w:cs="Calibri"/>
                <w:b/>
                <w:bCs/>
              </w:rPr>
              <w:t>Titles</w:t>
            </w:r>
            <w:r w:rsidRPr="7FB932B3">
              <w:rPr>
                <w:rFonts w:ascii="Calibri" w:eastAsia="Calibri" w:hAnsi="Calibri" w:cs="Calibri"/>
              </w:rPr>
              <w:t xml:space="preserve">: </w:t>
            </w:r>
            <w:r w:rsidR="00D26C3B" w:rsidRPr="002D1066">
              <w:rPr>
                <w:rFonts w:cstheme="minorHAnsi"/>
                <w:bCs/>
              </w:rPr>
              <w:t xml:space="preserve">Professor of Gene Medicine / Co-Director of the Gene Medicine Group / Head of NDCLS </w:t>
            </w:r>
          </w:p>
          <w:p w14:paraId="11C46B0A" w14:textId="36BA1DC6" w:rsidR="7FB932B3" w:rsidRDefault="4C15D40A">
            <w:r w:rsidRPr="7FD3CFA3">
              <w:rPr>
                <w:rFonts w:ascii="Calibri" w:eastAsia="Calibri" w:hAnsi="Calibri" w:cs="Calibri"/>
                <w:b/>
                <w:bCs/>
              </w:rPr>
              <w:t>Location</w:t>
            </w:r>
            <w:r w:rsidRPr="7FD3CFA3">
              <w:rPr>
                <w:rFonts w:ascii="Calibri" w:eastAsia="Calibri" w:hAnsi="Calibri" w:cs="Calibri"/>
              </w:rPr>
              <w:t xml:space="preserve">: </w:t>
            </w:r>
            <w:r w:rsidR="00D26C3B" w:rsidRPr="002D1066">
              <w:rPr>
                <w:rFonts w:cstheme="minorHAnsi"/>
                <w:bCs/>
              </w:rPr>
              <w:t>John Radcliffe Hospital</w:t>
            </w:r>
            <w:r w:rsidR="00D26C3B">
              <w:rPr>
                <w:rFonts w:cstheme="minorHAnsi"/>
                <w:bCs/>
              </w:rPr>
              <w:t>, (NDCLS)</w:t>
            </w:r>
          </w:p>
          <w:p w14:paraId="51B94C60" w14:textId="084C4526" w:rsidR="7FB932B3" w:rsidRDefault="4C15D40A" w:rsidP="7FD3CFA3">
            <w:pPr>
              <w:rPr>
                <w:rFonts w:ascii="Calibri" w:eastAsia="Calibri" w:hAnsi="Calibri" w:cs="Calibri"/>
              </w:rPr>
            </w:pPr>
            <w:r w:rsidRPr="7FD3CFA3">
              <w:rPr>
                <w:rFonts w:ascii="Calibri" w:eastAsia="Calibri" w:hAnsi="Calibri" w:cs="Calibri"/>
                <w:b/>
                <w:bCs/>
              </w:rPr>
              <w:t>Department</w:t>
            </w:r>
            <w:r w:rsidRPr="7FD3CFA3">
              <w:rPr>
                <w:rFonts w:ascii="Calibri" w:eastAsia="Calibri" w:hAnsi="Calibri" w:cs="Calibri"/>
              </w:rPr>
              <w:t xml:space="preserve">: </w:t>
            </w:r>
            <w:r w:rsidR="00D26C3B" w:rsidRPr="002D1066">
              <w:rPr>
                <w:rFonts w:cstheme="minorHAnsi"/>
                <w:bCs/>
              </w:rPr>
              <w:t>Radcliffe Department of Medicine (RDM)</w:t>
            </w:r>
          </w:p>
          <w:p w14:paraId="4EB7C667" w14:textId="77777777" w:rsidR="00D26C3B" w:rsidRDefault="7FB932B3" w:rsidP="00D26C3B">
            <w:pPr>
              <w:rPr>
                <w:rFonts w:ascii="Calibri" w:eastAsia="Calibri" w:hAnsi="Calibri" w:cs="Calibri"/>
              </w:rPr>
            </w:pPr>
            <w:r w:rsidRPr="7FB932B3">
              <w:rPr>
                <w:rFonts w:ascii="Calibri" w:eastAsia="Calibri" w:hAnsi="Calibri" w:cs="Calibri"/>
                <w:b/>
                <w:bCs/>
              </w:rPr>
              <w:t>Group</w:t>
            </w:r>
            <w:r w:rsidR="00D26C3B">
              <w:rPr>
                <w:rFonts w:ascii="Calibri" w:eastAsia="Calibri" w:hAnsi="Calibri" w:cs="Calibri"/>
                <w:b/>
                <w:bCs/>
              </w:rPr>
              <w:t xml:space="preserve">: </w:t>
            </w:r>
            <w:r w:rsidR="00D26C3B">
              <w:rPr>
                <w:rFonts w:ascii="Calibri" w:eastAsia="Calibri" w:hAnsi="Calibri" w:cs="Calibri"/>
              </w:rPr>
              <w:t>Gene Medicine Group</w:t>
            </w:r>
          </w:p>
          <w:p w14:paraId="4F22593C" w14:textId="27D525ED" w:rsidR="7FB932B3" w:rsidRDefault="7FB932B3" w:rsidP="7FB932B3">
            <w:pPr>
              <w:rPr>
                <w:rFonts w:ascii="Calibri" w:eastAsia="Calibri" w:hAnsi="Calibri" w:cs="Calibri"/>
              </w:rPr>
            </w:pPr>
            <w:r w:rsidRPr="7FB932B3">
              <w:rPr>
                <w:rFonts w:ascii="Calibri" w:eastAsia="Calibri" w:hAnsi="Calibri" w:cs="Calibri"/>
                <w:b/>
                <w:bCs/>
              </w:rPr>
              <w:t>Webpage</w:t>
            </w:r>
            <w:r w:rsidR="00D26C3B" w:rsidRPr="002D1066">
              <w:rPr>
                <w:rFonts w:cstheme="minorHAnsi"/>
                <w:bCs/>
              </w:rPr>
              <w:t xml:space="preserve">: </w:t>
            </w:r>
            <w:hyperlink r:id="rId11" w:history="1">
              <w:r w:rsidR="00D26C3B" w:rsidRPr="00FA107D">
                <w:rPr>
                  <w:rStyle w:val="Hyperlink"/>
                  <w:rFonts w:cstheme="minorHAnsi"/>
                  <w:bCs/>
                </w:rPr>
                <w:t>https://www.rdm.ox.ac.uk/people/deborah-gill</w:t>
              </w:r>
            </w:hyperlink>
          </w:p>
          <w:p w14:paraId="17AE8EB9" w14:textId="4AD3AD90" w:rsidR="00A33B99" w:rsidRDefault="7FB932B3" w:rsidP="7FB932B3">
            <w:pPr>
              <w:spacing w:line="259" w:lineRule="auto"/>
              <w:rPr>
                <w:rFonts w:ascii="Calibri" w:eastAsia="Calibri" w:hAnsi="Calibri" w:cs="Calibri"/>
              </w:rPr>
            </w:pPr>
            <w:r w:rsidRPr="7FB932B3">
              <w:rPr>
                <w:rFonts w:ascii="Calibri" w:eastAsia="Calibri" w:hAnsi="Calibri" w:cs="Calibri"/>
                <w:b/>
                <w:bCs/>
              </w:rPr>
              <w:t>Email</w:t>
            </w:r>
            <w:r w:rsidRPr="7FB932B3">
              <w:rPr>
                <w:rFonts w:ascii="Calibri" w:eastAsia="Calibri" w:hAnsi="Calibri" w:cs="Calibri"/>
              </w:rPr>
              <w:t xml:space="preserve">: </w:t>
            </w:r>
            <w:hyperlink r:id="rId12" w:history="1">
              <w:r w:rsidR="00D26C3B" w:rsidRPr="00FA107D">
                <w:rPr>
                  <w:rStyle w:val="Hyperlink"/>
                  <w:rFonts w:cstheme="minorHAnsi"/>
                  <w:bCs/>
                </w:rPr>
                <w:t>Deborah.gill@ndcls.ox.ac.uk</w:t>
              </w:r>
            </w:hyperlink>
          </w:p>
          <w:p w14:paraId="37A7AF9B" w14:textId="35B640B5" w:rsidR="00904427" w:rsidRDefault="00904427" w:rsidP="7FB932B3">
            <w:pPr>
              <w:spacing w:line="259" w:lineRule="auto"/>
              <w:rPr>
                <w:rFonts w:ascii="Calibri" w:eastAsia="Calibri" w:hAnsi="Calibri" w:cs="Calibri"/>
              </w:rPr>
            </w:pP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104FE72A" w14:textId="71082BAE" w:rsidR="6A7A4237" w:rsidRDefault="00D26C3B" w:rsidP="7FD3CFA3">
      <w:pPr>
        <w:pStyle w:val="ListParagraph"/>
        <w:numPr>
          <w:ilvl w:val="0"/>
          <w:numId w:val="4"/>
        </w:numPr>
      </w:pPr>
      <w:r>
        <w:t>From genes to clinic</w:t>
      </w:r>
    </w:p>
    <w:p w14:paraId="0AA15045" w14:textId="61809A82" w:rsidR="6A7A4237" w:rsidRDefault="6A7A4237" w:rsidP="7FD3CFA3">
      <w:pPr>
        <w:pStyle w:val="ListParagraph"/>
        <w:numPr>
          <w:ilvl w:val="0"/>
          <w:numId w:val="4"/>
        </w:numPr>
      </w:pPr>
      <w:r>
        <w:t>Application of genomics in the clinic (therapeutics)</w:t>
      </w:r>
    </w:p>
    <w:p w14:paraId="596B81AD" w14:textId="5F27C451" w:rsidR="1E925C02" w:rsidRDefault="1E925C02" w:rsidP="7FB932B3">
      <w:pPr>
        <w:pStyle w:val="Heading3"/>
        <w:rPr>
          <w:rFonts w:ascii="Calibri Light" w:hAnsi="Calibri Light"/>
          <w:color w:val="1F3763"/>
        </w:rPr>
      </w:pPr>
      <w:r w:rsidRPr="7FB932B3">
        <w:t>Research Overview</w:t>
      </w:r>
      <w:r w:rsidR="00AD2F30">
        <w:t>:</w:t>
      </w:r>
    </w:p>
    <w:p w14:paraId="579C0F94" w14:textId="6892EFBA" w:rsidR="00D26C3B" w:rsidRPr="00FA107D" w:rsidRDefault="00D26C3B" w:rsidP="00D26C3B">
      <w:pPr>
        <w:pStyle w:val="NormalWeb"/>
        <w:jc w:val="both"/>
        <w:rPr>
          <w:rFonts w:asciiTheme="minorHAnsi" w:hAnsiTheme="minorHAnsi" w:cstheme="minorHAnsi"/>
          <w:b/>
          <w:bCs/>
          <w:sz w:val="22"/>
          <w:szCs w:val="22"/>
        </w:rPr>
      </w:pPr>
      <w:r w:rsidRPr="00FA107D">
        <w:rPr>
          <w:rFonts w:asciiTheme="minorHAnsi" w:hAnsiTheme="minorHAnsi" w:cstheme="minorHAnsi"/>
          <w:sz w:val="22"/>
          <w:szCs w:val="22"/>
        </w:rPr>
        <w:t>The manipulation of nucleic acids for therapeutic purposes (gene therapy, gene editing, etc) is generating success in the clinic. A key challenge, however, is to understand and control the delivery and expression of genes in target tissues. My research focuses on the development of genetic treatments for respiratory conditions with a large unmet clinical need. We have substantial expertise in the development of novel non-viral and viral gene delivery systems; we developed a CpG-free plasmid DNA/cationic liposome formulation for</w:t>
      </w:r>
      <w:r w:rsidR="00EE2F3F">
        <w:rPr>
          <w:rFonts w:asciiTheme="minorHAnsi" w:hAnsiTheme="minorHAnsi" w:cstheme="minorHAnsi"/>
          <w:sz w:val="22"/>
          <w:szCs w:val="22"/>
        </w:rPr>
        <w:t xml:space="preserve"> the</w:t>
      </w:r>
      <w:r w:rsidRPr="00FA107D">
        <w:rPr>
          <w:rFonts w:asciiTheme="minorHAnsi" w:hAnsiTheme="minorHAnsi" w:cstheme="minorHAnsi"/>
          <w:sz w:val="22"/>
          <w:szCs w:val="22"/>
        </w:rPr>
        <w:t xml:space="preserve"> treatment of </w:t>
      </w:r>
      <w:r w:rsidR="00EE2F3F">
        <w:rPr>
          <w:rFonts w:asciiTheme="minorHAnsi" w:hAnsiTheme="minorHAnsi" w:cstheme="minorHAnsi"/>
          <w:sz w:val="22"/>
          <w:szCs w:val="22"/>
        </w:rPr>
        <w:t>c</w:t>
      </w:r>
      <w:r w:rsidRPr="00FA107D">
        <w:rPr>
          <w:rFonts w:asciiTheme="minorHAnsi" w:hAnsiTheme="minorHAnsi" w:cstheme="minorHAnsi"/>
          <w:sz w:val="22"/>
          <w:szCs w:val="22"/>
        </w:rPr>
        <w:t xml:space="preserve">ystic </w:t>
      </w:r>
      <w:r w:rsidR="00EE2F3F">
        <w:rPr>
          <w:rFonts w:asciiTheme="minorHAnsi" w:hAnsiTheme="minorHAnsi" w:cstheme="minorHAnsi"/>
          <w:sz w:val="22"/>
          <w:szCs w:val="22"/>
        </w:rPr>
        <w:t>f</w:t>
      </w:r>
      <w:r w:rsidRPr="00FA107D">
        <w:rPr>
          <w:rFonts w:asciiTheme="minorHAnsi" w:hAnsiTheme="minorHAnsi" w:cstheme="minorHAnsi"/>
          <w:sz w:val="22"/>
          <w:szCs w:val="22"/>
        </w:rPr>
        <w:t xml:space="preserve">ibrosis (CF) lung disease that successfully completed a Phase IIb clinical study in 136 CF patients, which showed for the first time that gene therapy could halt the inexorable decline of lung function that leads ultimately to the premature death of CF patients. In the viral vector space, we are developing novel, lung-targeted lentiviral and AAV vectors for a range of lung disorders and applications. </w:t>
      </w:r>
    </w:p>
    <w:p w14:paraId="4D9716FC" w14:textId="14A0593D" w:rsidR="00D26C3B" w:rsidRDefault="00D26C3B" w:rsidP="002E461D">
      <w:pPr>
        <w:jc w:val="both"/>
        <w:rPr>
          <w:rFonts w:cstheme="minorHAnsi"/>
        </w:rPr>
      </w:pPr>
      <w:r w:rsidRPr="00FA107D">
        <w:rPr>
          <w:rFonts w:cstheme="minorHAnsi"/>
        </w:rPr>
        <w:t>In particular, there is an urgent need for treatments for childhood Interstitial Lung Diseases (ILD), affect</w:t>
      </w:r>
      <w:r w:rsidR="00AD2F30">
        <w:rPr>
          <w:rFonts w:cstheme="minorHAnsi"/>
        </w:rPr>
        <w:t>ing</w:t>
      </w:r>
      <w:r w:rsidRPr="00FA107D">
        <w:rPr>
          <w:rFonts w:cstheme="minorHAnsi"/>
        </w:rPr>
        <w:t xml:space="preserve"> the </w:t>
      </w:r>
      <w:proofErr w:type="spellStart"/>
      <w:r w:rsidRPr="00FA107D">
        <w:rPr>
          <w:rFonts w:cstheme="minorHAnsi"/>
        </w:rPr>
        <w:t>interstitium</w:t>
      </w:r>
      <w:proofErr w:type="spellEnd"/>
      <w:r w:rsidRPr="00FA107D">
        <w:rPr>
          <w:rFonts w:cstheme="minorHAnsi"/>
        </w:rPr>
        <w:t xml:space="preserve"> - the tissue in and around the alveoli (air sacs) of the lungs. In adults, ILD often occurs after a lung injury triggers an abnormal healing response causing thickened, fibrotic alveolar tissue, leading to poor lung function. In children, ILD is more typically caused by genetic </w:t>
      </w:r>
      <w:r>
        <w:rPr>
          <w:rFonts w:cstheme="minorHAnsi"/>
        </w:rPr>
        <w:t xml:space="preserve">conditions, several of which can be lethal at birth. There are </w:t>
      </w:r>
      <w:r w:rsidRPr="00FA107D">
        <w:rPr>
          <w:rFonts w:cstheme="minorHAnsi"/>
        </w:rPr>
        <w:t xml:space="preserve">very few interventions/treatments available for these rare </w:t>
      </w:r>
      <w:r>
        <w:rPr>
          <w:rFonts w:cstheme="minorHAnsi"/>
        </w:rPr>
        <w:t xml:space="preserve">genetic </w:t>
      </w:r>
      <w:r w:rsidRPr="00FA107D">
        <w:rPr>
          <w:rFonts w:cstheme="minorHAnsi"/>
        </w:rPr>
        <w:t>diseases</w:t>
      </w:r>
      <w:r>
        <w:rPr>
          <w:rFonts w:cstheme="minorHAnsi"/>
        </w:rPr>
        <w:t>,</w:t>
      </w:r>
      <w:r w:rsidRPr="00FA107D">
        <w:rPr>
          <w:rFonts w:cstheme="minorHAnsi"/>
        </w:rPr>
        <w:t xml:space="preserve"> with life expectancy typically measured in weeks</w:t>
      </w:r>
      <w:r>
        <w:rPr>
          <w:rFonts w:cstheme="minorHAnsi"/>
        </w:rPr>
        <w:t xml:space="preserve"> or months</w:t>
      </w:r>
      <w:r w:rsidRPr="00FA107D">
        <w:rPr>
          <w:rFonts w:cstheme="minorHAnsi"/>
        </w:rPr>
        <w:t xml:space="preserve">. </w:t>
      </w:r>
      <w:r>
        <w:rPr>
          <w:rFonts w:cstheme="minorHAnsi"/>
        </w:rPr>
        <w:t>For example, g</w:t>
      </w:r>
      <w:r w:rsidRPr="00FA107D">
        <w:rPr>
          <w:rFonts w:cstheme="minorHAnsi"/>
        </w:rPr>
        <w:t xml:space="preserve">enes involved in </w:t>
      </w:r>
      <w:r>
        <w:rPr>
          <w:rFonts w:cstheme="minorHAnsi"/>
        </w:rPr>
        <w:t xml:space="preserve">lung </w:t>
      </w:r>
      <w:r w:rsidRPr="00FA107D">
        <w:rPr>
          <w:rFonts w:cstheme="minorHAnsi"/>
        </w:rPr>
        <w:t xml:space="preserve">surfactant production are essential for establishing a healthy lung in </w:t>
      </w:r>
      <w:proofErr w:type="spellStart"/>
      <w:r w:rsidRPr="00FA107D">
        <w:rPr>
          <w:rFonts w:cstheme="minorHAnsi"/>
        </w:rPr>
        <w:t>newborns</w:t>
      </w:r>
      <w:proofErr w:type="spellEnd"/>
      <w:r w:rsidRPr="00FA107D">
        <w:rPr>
          <w:rFonts w:cstheme="minorHAnsi"/>
        </w:rPr>
        <w:t xml:space="preserve"> and studies in transgenic mouse models have provided proof of principle for therapeutic gene therapy/gene editing approaches. We are therefore developing a genetic treatment for a range of childhood ILDs, including </w:t>
      </w:r>
      <w:r>
        <w:rPr>
          <w:rFonts w:cstheme="minorHAnsi"/>
        </w:rPr>
        <w:t xml:space="preserve">deficiencies in </w:t>
      </w:r>
      <w:r w:rsidRPr="00E54237">
        <w:rPr>
          <w:rFonts w:cstheme="minorHAnsi"/>
        </w:rPr>
        <w:t>s</w:t>
      </w:r>
      <w:r w:rsidRPr="00FA107D">
        <w:rPr>
          <w:rFonts w:cstheme="minorHAnsi"/>
        </w:rPr>
        <w:t>urfactant p</w:t>
      </w:r>
      <w:r>
        <w:rPr>
          <w:rFonts w:cstheme="minorHAnsi"/>
        </w:rPr>
        <w:t>rotein B</w:t>
      </w:r>
      <w:r w:rsidRPr="00FA107D">
        <w:rPr>
          <w:rFonts w:cstheme="minorHAnsi"/>
        </w:rPr>
        <w:t xml:space="preserve">, surfactant protein C, and </w:t>
      </w:r>
      <w:r w:rsidRPr="00CC710B">
        <w:rPr>
          <w:rFonts w:cstheme="minorHAnsi"/>
        </w:rPr>
        <w:t>adenosine triphosphate-binding cassette transporter A3</w:t>
      </w:r>
      <w:r w:rsidRPr="002D1066">
        <w:rPr>
          <w:rFonts w:cstheme="minorHAnsi"/>
        </w:rPr>
        <w:t xml:space="preserve"> (ABCA3</w:t>
      </w:r>
      <w:r w:rsidRPr="00FA107D">
        <w:rPr>
          <w:rFonts w:cstheme="minorHAnsi"/>
        </w:rPr>
        <w:t>)</w:t>
      </w:r>
      <w:r w:rsidRPr="002D1066">
        <w:rPr>
          <w:rFonts w:cstheme="minorHAnsi"/>
        </w:rPr>
        <w:t>.</w:t>
      </w:r>
    </w:p>
    <w:p w14:paraId="3135CC0C" w14:textId="77777777" w:rsidR="00D26C3B" w:rsidRDefault="6528CCDC" w:rsidP="00D26C3B">
      <w:pPr>
        <w:rPr>
          <w:rFonts w:cstheme="minorHAnsi"/>
          <w:bCs/>
        </w:rPr>
      </w:pPr>
      <w:r w:rsidRPr="7FB932B3">
        <w:rPr>
          <w:rStyle w:val="Heading3Char"/>
        </w:rPr>
        <w:t>Project areas</w:t>
      </w:r>
      <w:r w:rsidR="5A9BDCA9" w:rsidRPr="7FB932B3">
        <w:rPr>
          <w:rStyle w:val="Heading3Char"/>
        </w:rPr>
        <w:t>:</w:t>
      </w:r>
      <w:r w:rsidR="63FD05EE" w:rsidRPr="7FB932B3">
        <w:t xml:space="preserve"> </w:t>
      </w:r>
      <w:r w:rsidR="00D26C3B" w:rsidRPr="00FA107D">
        <w:rPr>
          <w:rFonts w:cstheme="minorHAnsi"/>
          <w:bCs/>
        </w:rPr>
        <w:t>Gene editing, gene therapy, transgenic mouse models, human lung culture models.</w:t>
      </w:r>
    </w:p>
    <w:p w14:paraId="2C129FBE" w14:textId="77777777" w:rsidR="00EF44AC" w:rsidRDefault="00EF44AC" w:rsidP="00EF44AC">
      <w:pPr>
        <w:pStyle w:val="NoSpacing"/>
      </w:pP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38F1CB2" w14:textId="23E213E8" w:rsidR="00EF44AC" w:rsidRPr="00693663" w:rsidRDefault="5D179630">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sidR="00520465">
        <w:rPr>
          <w:b/>
          <w:bCs/>
          <w:i/>
          <w:iCs/>
        </w:rPr>
        <w:t>July 2021</w:t>
      </w:r>
      <w:r w:rsidRPr="7FD3CFA3">
        <w:rPr>
          <w:b/>
          <w:bCs/>
          <w:i/>
          <w:iCs/>
        </w:rPr>
        <w:t>]</w:t>
      </w:r>
    </w:p>
    <w:p w14:paraId="68B042C6" w14:textId="0A43D494" w:rsidR="1940C1DB" w:rsidRPr="0086341E" w:rsidRDefault="1940C1DB" w:rsidP="7FB932B3">
      <w:pPr>
        <w:pStyle w:val="Title"/>
        <w:rPr>
          <w:rFonts w:asciiTheme="minorHAnsi" w:hAnsiTheme="minorHAnsi" w:cstheme="minorHAnsi"/>
        </w:rPr>
      </w:pPr>
      <w:r w:rsidRPr="0086341E">
        <w:rPr>
          <w:rFonts w:asciiTheme="minorHAnsi" w:hAnsiTheme="minorHAnsi" w:cstheme="minorHAnsi"/>
        </w:rPr>
        <w:lastRenderedPageBreak/>
        <w:t>Project proposal</w:t>
      </w:r>
    </w:p>
    <w:p w14:paraId="0D9DDBEE" w14:textId="3603B2BE" w:rsidR="1940C1DB" w:rsidRPr="0086341E" w:rsidRDefault="1940C1DB" w:rsidP="00AD2F30">
      <w:pPr>
        <w:pStyle w:val="NormalWeb"/>
        <w:rPr>
          <w:rFonts w:asciiTheme="minorHAnsi" w:hAnsiTheme="minorHAnsi" w:cstheme="minorHAnsi"/>
          <w:b/>
          <w:sz w:val="22"/>
          <w:szCs w:val="22"/>
        </w:rPr>
      </w:pPr>
      <w:r w:rsidRPr="0086341E">
        <w:rPr>
          <w:rStyle w:val="Heading3Char"/>
          <w:rFonts w:asciiTheme="minorHAnsi" w:hAnsiTheme="minorHAnsi" w:cstheme="minorHAnsi"/>
          <w:bCs/>
        </w:rPr>
        <w:t>Title</w:t>
      </w:r>
      <w:r w:rsidRPr="0086341E">
        <w:rPr>
          <w:rStyle w:val="Heading3Char"/>
          <w:rFonts w:asciiTheme="minorHAnsi" w:hAnsiTheme="minorHAnsi" w:cstheme="minorHAnsi"/>
        </w:rPr>
        <w:t>:</w:t>
      </w:r>
      <w:r w:rsidR="003565FC" w:rsidRPr="0086341E">
        <w:rPr>
          <w:rStyle w:val="Heading3Char"/>
          <w:rFonts w:asciiTheme="minorHAnsi" w:hAnsiTheme="minorHAnsi" w:cstheme="minorHAnsi"/>
        </w:rPr>
        <w:t xml:space="preserve"> </w:t>
      </w:r>
      <w:r w:rsidR="00AD2F30" w:rsidRPr="0086341E">
        <w:rPr>
          <w:rFonts w:asciiTheme="minorHAnsi" w:hAnsiTheme="minorHAnsi" w:cstheme="minorHAnsi"/>
          <w:sz w:val="22"/>
          <w:szCs w:val="22"/>
        </w:rPr>
        <w:t>Strategies to facilitate targeted high-efficiency gene editing for treatment of lung diseases</w:t>
      </w:r>
    </w:p>
    <w:p w14:paraId="076F7856" w14:textId="02894F92" w:rsidR="1940C1DB" w:rsidRPr="0086341E" w:rsidRDefault="1940C1DB" w:rsidP="7FB932B3">
      <w:pPr>
        <w:rPr>
          <w:rFonts w:eastAsia="Calibri" w:cstheme="minorHAnsi"/>
        </w:rPr>
      </w:pPr>
      <w:r w:rsidRPr="0086341E">
        <w:rPr>
          <w:rStyle w:val="Heading3Char"/>
          <w:rFonts w:asciiTheme="minorHAnsi" w:hAnsiTheme="minorHAnsi" w:cstheme="minorHAnsi"/>
        </w:rPr>
        <w:t>Supervisors:</w:t>
      </w:r>
      <w:r w:rsidRPr="0086341E">
        <w:rPr>
          <w:rFonts w:eastAsia="Calibri" w:cstheme="minorHAnsi"/>
        </w:rPr>
        <w:t xml:space="preserve"> </w:t>
      </w:r>
      <w:r w:rsidR="00AD2F30" w:rsidRPr="0086341E">
        <w:rPr>
          <w:rFonts w:eastAsia="Calibri" w:cstheme="minorHAnsi"/>
        </w:rPr>
        <w:t>Professor Deborah Gill &amp; Dr Altar Munis</w:t>
      </w:r>
    </w:p>
    <w:p w14:paraId="67993BAE" w14:textId="789FC268" w:rsidR="3B39B9A6" w:rsidRPr="0086341E" w:rsidRDefault="4365F65B" w:rsidP="7FB932B3">
      <w:pPr>
        <w:rPr>
          <w:rFonts w:eastAsia="Calibri" w:cstheme="minorHAnsi"/>
        </w:rPr>
      </w:pPr>
      <w:r w:rsidRPr="0086341E">
        <w:rPr>
          <w:rStyle w:val="Heading3Char"/>
          <w:rFonts w:asciiTheme="minorHAnsi" w:hAnsiTheme="minorHAnsi" w:cstheme="minorHAnsi"/>
        </w:rPr>
        <w:t>Wet/d</w:t>
      </w:r>
      <w:r w:rsidR="49F502F7" w:rsidRPr="0086341E">
        <w:rPr>
          <w:rStyle w:val="Heading3Char"/>
          <w:rFonts w:asciiTheme="minorHAnsi" w:hAnsiTheme="minorHAnsi" w:cstheme="minorHAnsi"/>
        </w:rPr>
        <w:t>ry</w:t>
      </w:r>
      <w:r w:rsidR="5751F867" w:rsidRPr="0086341E">
        <w:rPr>
          <w:rStyle w:val="Heading3Char"/>
          <w:rFonts w:asciiTheme="minorHAnsi" w:hAnsiTheme="minorHAnsi" w:cstheme="minorHAnsi"/>
        </w:rPr>
        <w:t xml:space="preserve"> </w:t>
      </w:r>
      <w:r w:rsidR="49F502F7" w:rsidRPr="0086341E">
        <w:rPr>
          <w:rStyle w:val="Heading3Char"/>
          <w:rFonts w:asciiTheme="minorHAnsi" w:hAnsiTheme="minorHAnsi" w:cstheme="minorHAnsi"/>
        </w:rPr>
        <w:t>lab mix</w:t>
      </w:r>
      <w:r w:rsidR="52AFBE09" w:rsidRPr="0086341E">
        <w:rPr>
          <w:rStyle w:val="Heading3Char"/>
          <w:rFonts w:asciiTheme="minorHAnsi" w:hAnsiTheme="minorHAnsi" w:cstheme="minorHAnsi"/>
        </w:rPr>
        <w:t xml:space="preserve"> (</w:t>
      </w:r>
      <w:proofErr w:type="spellStart"/>
      <w:r w:rsidR="52AFBE09" w:rsidRPr="0086341E">
        <w:rPr>
          <w:rStyle w:val="Heading3Char"/>
          <w:rFonts w:asciiTheme="minorHAnsi" w:hAnsiTheme="minorHAnsi" w:cstheme="minorHAnsi"/>
        </w:rPr>
        <w:t>approx</w:t>
      </w:r>
      <w:proofErr w:type="spellEnd"/>
      <w:r w:rsidR="52AFBE09" w:rsidRPr="0086341E">
        <w:rPr>
          <w:rStyle w:val="Heading3Char"/>
          <w:rFonts w:asciiTheme="minorHAnsi" w:hAnsiTheme="minorHAnsi" w:cstheme="minorHAnsi"/>
        </w:rPr>
        <w:t>)</w:t>
      </w:r>
      <w:r w:rsidR="49F502F7" w:rsidRPr="0086341E">
        <w:rPr>
          <w:rFonts w:eastAsia="Calibri" w:cstheme="minorHAnsi"/>
        </w:rPr>
        <w:t xml:space="preserve">: </w:t>
      </w:r>
      <w:r w:rsidR="00AD2F30" w:rsidRPr="0086341E">
        <w:rPr>
          <w:rFonts w:eastAsia="Calibri" w:cstheme="minorHAnsi"/>
        </w:rPr>
        <w:t>75</w:t>
      </w:r>
      <w:r w:rsidR="49F502F7" w:rsidRPr="0086341E">
        <w:rPr>
          <w:rFonts w:eastAsia="Calibri" w:cstheme="minorHAnsi"/>
        </w:rPr>
        <w:t xml:space="preserve">% </w:t>
      </w:r>
      <w:r w:rsidR="51F5D72A" w:rsidRPr="0086341E">
        <w:rPr>
          <w:rFonts w:eastAsia="Calibri" w:cstheme="minorHAnsi"/>
        </w:rPr>
        <w:t>wet</w:t>
      </w:r>
      <w:r w:rsidR="1BA750E7" w:rsidRPr="0086341E">
        <w:rPr>
          <w:rFonts w:eastAsia="Calibri" w:cstheme="minorHAnsi"/>
        </w:rPr>
        <w:t xml:space="preserve"> </w:t>
      </w:r>
      <w:r w:rsidR="00AD2F30" w:rsidRPr="0086341E">
        <w:rPr>
          <w:rFonts w:eastAsia="Calibri" w:cstheme="minorHAnsi"/>
        </w:rPr>
        <w:t>lab, 25</w:t>
      </w:r>
      <w:r w:rsidR="49F502F7" w:rsidRPr="0086341E">
        <w:rPr>
          <w:rFonts w:eastAsia="Calibri" w:cstheme="minorHAnsi"/>
        </w:rPr>
        <w:t xml:space="preserve">% </w:t>
      </w:r>
      <w:r w:rsidR="51F5D72A" w:rsidRPr="0086341E">
        <w:rPr>
          <w:rFonts w:eastAsia="Calibri" w:cstheme="minorHAnsi"/>
        </w:rPr>
        <w:t>dry</w:t>
      </w:r>
      <w:r w:rsidR="15B34A6C" w:rsidRPr="0086341E">
        <w:rPr>
          <w:rFonts w:eastAsia="Calibri" w:cstheme="minorHAnsi"/>
        </w:rPr>
        <w:t xml:space="preserve"> </w:t>
      </w:r>
      <w:r w:rsidR="49F502F7" w:rsidRPr="0086341E">
        <w:rPr>
          <w:rFonts w:eastAsia="Calibri" w:cstheme="minorHAnsi"/>
        </w:rPr>
        <w:t>lab</w:t>
      </w:r>
    </w:p>
    <w:p w14:paraId="40EE607F" w14:textId="77777777" w:rsidR="0086341E" w:rsidRPr="0086341E" w:rsidRDefault="1940C1DB" w:rsidP="0086341E">
      <w:pPr>
        <w:pStyle w:val="Heading3"/>
        <w:rPr>
          <w:rFonts w:asciiTheme="minorHAnsi" w:hAnsiTheme="minorHAnsi" w:cstheme="minorHAnsi"/>
        </w:rPr>
      </w:pPr>
      <w:r w:rsidRPr="0086341E">
        <w:rPr>
          <w:rFonts w:asciiTheme="minorHAnsi" w:hAnsiTheme="minorHAnsi" w:cstheme="minorHAnsi"/>
        </w:rPr>
        <w:t>Description</w:t>
      </w:r>
      <w:r w:rsidR="008C6A4B" w:rsidRPr="0086341E">
        <w:rPr>
          <w:rFonts w:asciiTheme="minorHAnsi" w:hAnsiTheme="minorHAnsi" w:cstheme="minorHAnsi"/>
        </w:rPr>
        <w:t>:</w:t>
      </w:r>
      <w:r w:rsidR="00AD2F30" w:rsidRPr="0086341E">
        <w:rPr>
          <w:rFonts w:asciiTheme="minorHAnsi" w:hAnsiTheme="minorHAnsi" w:cstheme="minorHAnsi"/>
        </w:rPr>
        <w:t xml:space="preserve"> </w:t>
      </w:r>
    </w:p>
    <w:p w14:paraId="2C3106EC" w14:textId="429C3B3A" w:rsidR="00AD2F30" w:rsidRPr="0086341E" w:rsidRDefault="00AD2F30" w:rsidP="0086341E">
      <w:pPr>
        <w:pStyle w:val="Heading3"/>
        <w:jc w:val="both"/>
        <w:rPr>
          <w:rFonts w:asciiTheme="minorHAnsi" w:hAnsiTheme="minorHAnsi" w:cstheme="minorHAnsi"/>
        </w:rPr>
      </w:pPr>
      <w:r w:rsidRPr="0086341E">
        <w:rPr>
          <w:rFonts w:asciiTheme="minorHAnsi" w:hAnsiTheme="minorHAnsi" w:cstheme="minorHAnsi"/>
          <w:b w:val="0"/>
          <w:sz w:val="22"/>
          <w:szCs w:val="22"/>
        </w:rPr>
        <w:t xml:space="preserve">The clustered regularly interspersed palindromic repeats (CRISPR) system, a powerful genome editing tool, has now been used ubiquitously in medical research including gene therapy. Several proof-of-concept studies have demonstrated the feasibility of </w:t>
      </w:r>
      <w:r w:rsidRPr="0086341E">
        <w:rPr>
          <w:rFonts w:asciiTheme="minorHAnsi" w:hAnsiTheme="minorHAnsi" w:cstheme="minorHAnsi"/>
          <w:b w:val="0"/>
          <w:i/>
          <w:iCs/>
          <w:sz w:val="22"/>
          <w:szCs w:val="22"/>
        </w:rPr>
        <w:t xml:space="preserve">in vivo </w:t>
      </w:r>
      <w:r w:rsidRPr="0086341E">
        <w:rPr>
          <w:rFonts w:asciiTheme="minorHAnsi" w:hAnsiTheme="minorHAnsi" w:cstheme="minorHAnsi"/>
          <w:b w:val="0"/>
          <w:sz w:val="22"/>
          <w:szCs w:val="22"/>
        </w:rPr>
        <w:t xml:space="preserve">gene editing to correct disease-causing mutations using both Homology Directed Repair (HDR) and Homology-Independent Targeted Integration (HITI) strategies. A successful therapeutic gene editing strategy to tackle lung disorders will require the targeted and </w:t>
      </w:r>
      <w:r w:rsidR="003A1DA0" w:rsidRPr="0086341E">
        <w:rPr>
          <w:rFonts w:asciiTheme="minorHAnsi" w:hAnsiTheme="minorHAnsi" w:cstheme="minorHAnsi"/>
          <w:b w:val="0"/>
          <w:sz w:val="22"/>
          <w:szCs w:val="22"/>
        </w:rPr>
        <w:t>highly efficient</w:t>
      </w:r>
      <w:r w:rsidRPr="0086341E">
        <w:rPr>
          <w:rFonts w:asciiTheme="minorHAnsi" w:hAnsiTheme="minorHAnsi" w:cstheme="minorHAnsi"/>
          <w:b w:val="0"/>
          <w:sz w:val="22"/>
          <w:szCs w:val="22"/>
        </w:rPr>
        <w:t xml:space="preserve"> repair action of the CRISPR-Cas9 system adapted for specific cell types; for example, targeting alveolar type II pneumocytes in the case of interstitial lung diseases, and also </w:t>
      </w:r>
      <w:proofErr w:type="spellStart"/>
      <w:r w:rsidRPr="0086341E">
        <w:rPr>
          <w:rFonts w:asciiTheme="minorHAnsi" w:hAnsiTheme="minorHAnsi" w:cstheme="minorHAnsi"/>
          <w:b w:val="0"/>
          <w:sz w:val="22"/>
          <w:szCs w:val="22"/>
        </w:rPr>
        <w:t>ionocytes</w:t>
      </w:r>
      <w:proofErr w:type="spellEnd"/>
      <w:r w:rsidRPr="0086341E">
        <w:rPr>
          <w:rFonts w:asciiTheme="minorHAnsi" w:hAnsiTheme="minorHAnsi" w:cstheme="minorHAnsi"/>
          <w:b w:val="0"/>
          <w:sz w:val="22"/>
          <w:szCs w:val="22"/>
        </w:rPr>
        <w:t xml:space="preserve"> and ciliated cells for cystic fibrosis. We have developed a novel transgenic reporter mouse model, which ubiquitously expresses the fluorescent </w:t>
      </w:r>
      <w:proofErr w:type="spellStart"/>
      <w:r w:rsidRPr="0086341E">
        <w:rPr>
          <w:rFonts w:asciiTheme="minorHAnsi" w:hAnsiTheme="minorHAnsi" w:cstheme="minorHAnsi"/>
          <w:b w:val="0"/>
          <w:sz w:val="22"/>
          <w:szCs w:val="22"/>
        </w:rPr>
        <w:t>TdTomato</w:t>
      </w:r>
      <w:proofErr w:type="spellEnd"/>
      <w:r w:rsidRPr="0086341E">
        <w:rPr>
          <w:rFonts w:asciiTheme="minorHAnsi" w:hAnsiTheme="minorHAnsi" w:cstheme="minorHAnsi"/>
          <w:b w:val="0"/>
          <w:sz w:val="22"/>
          <w:szCs w:val="22"/>
        </w:rPr>
        <w:t xml:space="preserve"> transgene, to evaluate genome editor tools and delivery methods </w:t>
      </w:r>
      <w:r w:rsidRPr="0086341E">
        <w:rPr>
          <w:rFonts w:asciiTheme="minorHAnsi" w:hAnsiTheme="minorHAnsi" w:cstheme="minorHAnsi"/>
          <w:b w:val="0"/>
          <w:i/>
          <w:sz w:val="22"/>
          <w:szCs w:val="22"/>
        </w:rPr>
        <w:t>in vivo</w:t>
      </w:r>
      <w:r w:rsidRPr="0086341E">
        <w:rPr>
          <w:rFonts w:asciiTheme="minorHAnsi" w:hAnsiTheme="minorHAnsi" w:cstheme="minorHAnsi"/>
          <w:b w:val="0"/>
          <w:sz w:val="22"/>
          <w:szCs w:val="22"/>
        </w:rPr>
        <w:t xml:space="preserve">. We aim to use this model to explore, validate, and demonstrate the utility of </w:t>
      </w:r>
      <w:r w:rsidRPr="0086341E">
        <w:rPr>
          <w:rFonts w:asciiTheme="minorHAnsi" w:hAnsiTheme="minorHAnsi" w:cstheme="minorHAnsi"/>
          <w:b w:val="0"/>
          <w:i/>
          <w:sz w:val="22"/>
          <w:szCs w:val="22"/>
        </w:rPr>
        <w:t>in vivo</w:t>
      </w:r>
      <w:r w:rsidRPr="0086341E">
        <w:rPr>
          <w:rFonts w:asciiTheme="minorHAnsi" w:hAnsiTheme="minorHAnsi" w:cstheme="minorHAnsi"/>
          <w:b w:val="0"/>
          <w:sz w:val="22"/>
          <w:szCs w:val="22"/>
        </w:rPr>
        <w:t xml:space="preserve"> genome editing strategies for lung disorders</w:t>
      </w:r>
      <w:r w:rsidRPr="0086341E">
        <w:rPr>
          <w:rFonts w:asciiTheme="minorHAnsi" w:hAnsiTheme="minorHAnsi" w:cstheme="minorHAnsi"/>
          <w:b w:val="0"/>
          <w:i/>
          <w:iCs/>
          <w:sz w:val="22"/>
          <w:szCs w:val="22"/>
        </w:rPr>
        <w:t>.</w:t>
      </w:r>
      <w:r w:rsidRPr="0086341E">
        <w:rPr>
          <w:rFonts w:asciiTheme="minorHAnsi" w:hAnsiTheme="minorHAnsi" w:cstheme="minorHAnsi"/>
          <w:i/>
          <w:iCs/>
          <w:sz w:val="22"/>
          <w:szCs w:val="22"/>
        </w:rPr>
        <w:t xml:space="preserve"> </w:t>
      </w:r>
    </w:p>
    <w:p w14:paraId="6FE34B45" w14:textId="22ED1412" w:rsidR="00AD2F30" w:rsidRPr="0086341E" w:rsidRDefault="00AD2F30" w:rsidP="002E461D">
      <w:pPr>
        <w:pStyle w:val="NormalWeb"/>
        <w:jc w:val="both"/>
        <w:rPr>
          <w:rFonts w:asciiTheme="minorHAnsi" w:hAnsiTheme="minorHAnsi" w:cstheme="minorHAnsi"/>
          <w:sz w:val="22"/>
          <w:szCs w:val="22"/>
        </w:rPr>
      </w:pPr>
      <w:r w:rsidRPr="0086341E">
        <w:rPr>
          <w:rFonts w:asciiTheme="minorHAnsi" w:hAnsiTheme="minorHAnsi" w:cstheme="minorHAnsi"/>
          <w:bCs/>
          <w:sz w:val="22"/>
          <w:szCs w:val="22"/>
        </w:rPr>
        <w:t xml:space="preserve">The rotation project, which can serve as a starting point for subsequent DPhil study, focuses on gene editing using a range of delivery vectors, specifically comparing recombinant Lentiviral and AAV vectors and also vectors encoding cell-specific promoters. </w:t>
      </w:r>
      <w:r w:rsidRPr="0086341E">
        <w:rPr>
          <w:rFonts w:asciiTheme="minorHAnsi" w:hAnsiTheme="minorHAnsi" w:cstheme="minorHAnsi"/>
          <w:color w:val="000000"/>
          <w:sz w:val="22"/>
          <w:szCs w:val="22"/>
        </w:rPr>
        <w:t xml:space="preserve">Gene editing strategies will first be tested </w:t>
      </w:r>
      <w:r w:rsidRPr="0086341E">
        <w:rPr>
          <w:rFonts w:asciiTheme="minorHAnsi" w:hAnsiTheme="minorHAnsi" w:cstheme="minorHAnsi"/>
          <w:i/>
          <w:iCs/>
          <w:color w:val="000000"/>
          <w:sz w:val="22"/>
          <w:szCs w:val="22"/>
        </w:rPr>
        <w:t xml:space="preserve">in vitro </w:t>
      </w:r>
      <w:r w:rsidRPr="0086341E">
        <w:rPr>
          <w:rFonts w:asciiTheme="minorHAnsi" w:hAnsiTheme="minorHAnsi" w:cstheme="minorHAnsi"/>
          <w:color w:val="000000"/>
          <w:sz w:val="22"/>
          <w:szCs w:val="22"/>
        </w:rPr>
        <w:t>using primary human lung airway cultures and surfactant air-liquid interface (SALI) cultures modelling human lung parenchyma. Off-targets and editing efficiencies will be assessed via droplet-digital PCR (</w:t>
      </w:r>
      <w:proofErr w:type="spellStart"/>
      <w:r w:rsidRPr="0086341E">
        <w:rPr>
          <w:rFonts w:asciiTheme="minorHAnsi" w:hAnsiTheme="minorHAnsi" w:cstheme="minorHAnsi"/>
          <w:color w:val="000000"/>
          <w:sz w:val="22"/>
          <w:szCs w:val="22"/>
        </w:rPr>
        <w:t>ddPCR</w:t>
      </w:r>
      <w:proofErr w:type="spellEnd"/>
      <w:r w:rsidRPr="0086341E">
        <w:rPr>
          <w:rFonts w:asciiTheme="minorHAnsi" w:hAnsiTheme="minorHAnsi" w:cstheme="minorHAnsi"/>
          <w:color w:val="000000"/>
          <w:sz w:val="22"/>
          <w:szCs w:val="22"/>
        </w:rPr>
        <w:t xml:space="preserve">) and Nanopore </w:t>
      </w:r>
      <w:proofErr w:type="spellStart"/>
      <w:r w:rsidRPr="0086341E">
        <w:rPr>
          <w:rFonts w:asciiTheme="minorHAnsi" w:hAnsiTheme="minorHAnsi" w:cstheme="minorHAnsi"/>
          <w:color w:val="000000"/>
          <w:sz w:val="22"/>
          <w:szCs w:val="22"/>
        </w:rPr>
        <w:t>MinION</w:t>
      </w:r>
      <w:proofErr w:type="spellEnd"/>
      <w:r w:rsidRPr="0086341E">
        <w:rPr>
          <w:rFonts w:asciiTheme="minorHAnsi" w:hAnsiTheme="minorHAnsi" w:cstheme="minorHAnsi"/>
          <w:color w:val="000000"/>
          <w:sz w:val="22"/>
          <w:szCs w:val="22"/>
        </w:rPr>
        <w:t>-based third generation next-generation sequencing (NGS) method AFIS-Seq</w:t>
      </w:r>
      <w:r w:rsidRPr="0086341E">
        <w:rPr>
          <w:rFonts w:asciiTheme="minorHAnsi" w:hAnsiTheme="minorHAnsi" w:cstheme="minorHAnsi"/>
          <w:bCs/>
          <w:sz w:val="22"/>
          <w:szCs w:val="22"/>
        </w:rPr>
        <w:t xml:space="preserve">. </w:t>
      </w:r>
      <w:r w:rsidRPr="0086341E">
        <w:rPr>
          <w:rFonts w:asciiTheme="minorHAnsi" w:hAnsiTheme="minorHAnsi" w:cstheme="minorHAnsi"/>
          <w:sz w:val="22"/>
          <w:szCs w:val="22"/>
        </w:rPr>
        <w:t>Utilising </w:t>
      </w:r>
      <w:r w:rsidRPr="0086341E">
        <w:rPr>
          <w:rFonts w:asciiTheme="minorHAnsi" w:hAnsiTheme="minorHAnsi" w:cstheme="minorHAnsi"/>
          <w:i/>
          <w:iCs/>
          <w:sz w:val="22"/>
          <w:szCs w:val="22"/>
        </w:rPr>
        <w:t>in vitro </w:t>
      </w:r>
      <w:r w:rsidRPr="0086341E">
        <w:rPr>
          <w:rFonts w:asciiTheme="minorHAnsi" w:hAnsiTheme="minorHAnsi" w:cstheme="minorHAnsi"/>
          <w:sz w:val="22"/>
          <w:szCs w:val="22"/>
        </w:rPr>
        <w:t xml:space="preserve">data to optimise experimental design (e.g. gRNA and donor design, Cas9 to donor ratios, etc), targeted, cell-specific, gene editing experiments can be performed in the reporter </w:t>
      </w:r>
      <w:proofErr w:type="spellStart"/>
      <w:r w:rsidRPr="0086341E">
        <w:rPr>
          <w:rFonts w:asciiTheme="minorHAnsi" w:hAnsiTheme="minorHAnsi" w:cstheme="minorHAnsi"/>
          <w:sz w:val="22"/>
          <w:szCs w:val="22"/>
        </w:rPr>
        <w:t>TdTomato</w:t>
      </w:r>
      <w:proofErr w:type="spellEnd"/>
      <w:r w:rsidRPr="0086341E">
        <w:rPr>
          <w:rFonts w:asciiTheme="minorHAnsi" w:hAnsiTheme="minorHAnsi" w:cstheme="minorHAnsi"/>
          <w:sz w:val="22"/>
          <w:szCs w:val="22"/>
        </w:rPr>
        <w:t xml:space="preserve"> mouse model. In parallel, a (partly) humanised mouse model can be generated for surfactant B deficiency (a lethal rare genetic disorder affecting the lung parenchyma) and those candidates with the ‘best’ combination of vector and cell-specific promoter will be used to demonstrate proof-of-concept.  We also have a conditional surfactant protein B knockout mouse model, which can be utilised as proof-of-principle if needed. Demonstrating efficient gene editing of specific and rare disease-causing mutations will support the use of personalised medicine to treat rare lung diseases where no other treatment options exist.</w:t>
      </w:r>
    </w:p>
    <w:p w14:paraId="16BDD1CC" w14:textId="2B247DB7" w:rsidR="59EE04B0" w:rsidRPr="0086341E" w:rsidRDefault="1940C1DB" w:rsidP="0086341E">
      <w:pPr>
        <w:pStyle w:val="Heading3"/>
        <w:jc w:val="both"/>
        <w:rPr>
          <w:rFonts w:asciiTheme="minorHAnsi" w:hAnsiTheme="minorHAnsi" w:cstheme="minorHAnsi"/>
          <w:b w:val="0"/>
          <w:color w:val="1F3763"/>
        </w:rPr>
      </w:pPr>
      <w:r w:rsidRPr="0086341E">
        <w:rPr>
          <w:rFonts w:asciiTheme="minorHAnsi" w:hAnsiTheme="minorHAnsi" w:cstheme="minorHAnsi"/>
        </w:rPr>
        <w:lastRenderedPageBreak/>
        <w:t>Training Opportunities</w:t>
      </w:r>
      <w:r w:rsidR="008C6A4B" w:rsidRPr="0086341E">
        <w:rPr>
          <w:rFonts w:asciiTheme="minorHAnsi" w:hAnsiTheme="minorHAnsi" w:cstheme="minorHAnsi"/>
        </w:rPr>
        <w:t>:</w:t>
      </w:r>
      <w:r w:rsidR="00AD2F30" w:rsidRPr="0086341E">
        <w:rPr>
          <w:rFonts w:asciiTheme="minorHAnsi" w:hAnsiTheme="minorHAnsi" w:cstheme="minorHAnsi"/>
        </w:rPr>
        <w:t xml:space="preserve"> </w:t>
      </w:r>
      <w:r w:rsidR="00AD2F30" w:rsidRPr="0086341E">
        <w:rPr>
          <w:rFonts w:asciiTheme="minorHAnsi" w:eastAsia="Times New Roman" w:hAnsiTheme="minorHAnsi" w:cstheme="minorHAnsi"/>
          <w:b w:val="0"/>
          <w:sz w:val="22"/>
          <w:szCs w:val="22"/>
        </w:rPr>
        <w:t xml:space="preserve">The proposed project will involve: human cell culture including cell manipulation via vector transfection &amp; transduction; recombinant virus (lentiviral &amp; AAV) vector design, production &amp; titration; general recombinant DNA techniques including plasmid DNA manipulation, DNA &amp; RNA purification, cloning, etc; gene quantification by PCR and droplet digital PCR; flow cytometry; confocal and immunofluorescence microscopy; immunoblotting; CRISPR‐Cas9 genome engineering; Nanopore </w:t>
      </w:r>
      <w:proofErr w:type="spellStart"/>
      <w:r w:rsidR="00AD2F30" w:rsidRPr="0086341E">
        <w:rPr>
          <w:rFonts w:asciiTheme="minorHAnsi" w:eastAsia="Times New Roman" w:hAnsiTheme="minorHAnsi" w:cstheme="minorHAnsi"/>
          <w:b w:val="0"/>
          <w:sz w:val="22"/>
          <w:szCs w:val="22"/>
        </w:rPr>
        <w:t>MinION</w:t>
      </w:r>
      <w:proofErr w:type="spellEnd"/>
      <w:r w:rsidR="00AD2F30" w:rsidRPr="0086341E">
        <w:rPr>
          <w:rFonts w:asciiTheme="minorHAnsi" w:eastAsia="Times New Roman" w:hAnsiTheme="minorHAnsi" w:cstheme="minorHAnsi"/>
          <w:b w:val="0"/>
          <w:sz w:val="22"/>
          <w:szCs w:val="22"/>
        </w:rPr>
        <w:t xml:space="preserve"> based, third-generation next generation sequencing &amp; relevant bioinformatics pipeline involving Python3 and R coding/programming; use and design of transgenic mouse models of human disease, including handling, processing, and analysing mouse blood and tissue samples, and training for a Home Office Personal Licence. The student will also receive training in scientific writing, oral presentations and public engagement activities. </w:t>
      </w:r>
      <w:r w:rsidR="00AD2F30" w:rsidRPr="0086341E">
        <w:rPr>
          <w:rFonts w:asciiTheme="minorHAnsi" w:hAnsiTheme="minorHAnsi" w:cstheme="minorHAnsi"/>
          <w:b w:val="0"/>
          <w:bCs/>
          <w:sz w:val="22"/>
          <w:szCs w:val="22"/>
        </w:rPr>
        <w:t>The project would suit someone who would like to focus on wet lab techniques and contribute to the overall translation of a genetic therapy to the clinic</w:t>
      </w:r>
      <w:r w:rsidR="59EE04B0" w:rsidRPr="0086341E">
        <w:rPr>
          <w:rFonts w:asciiTheme="minorHAnsi" w:eastAsia="Calibri" w:hAnsiTheme="minorHAnsi" w:cstheme="minorHAnsi"/>
          <w:b w:val="0"/>
          <w:sz w:val="22"/>
          <w:szCs w:val="22"/>
        </w:rPr>
        <w:t>.</w:t>
      </w:r>
    </w:p>
    <w:p w14:paraId="3E1EECD7" w14:textId="77777777" w:rsidR="00AD2F30" w:rsidRPr="0086341E" w:rsidRDefault="00AD2F30" w:rsidP="7FB932B3">
      <w:pPr>
        <w:rPr>
          <w:rFonts w:eastAsia="Calibri" w:cstheme="minorHAnsi"/>
        </w:rPr>
      </w:pPr>
    </w:p>
    <w:p w14:paraId="078FB80D" w14:textId="4DD3AF58" w:rsidR="1940C1DB" w:rsidRPr="0086341E" w:rsidRDefault="1940C1DB" w:rsidP="7FB932B3">
      <w:pPr>
        <w:pStyle w:val="Heading3"/>
        <w:rPr>
          <w:rFonts w:asciiTheme="minorHAnsi" w:hAnsiTheme="minorHAnsi" w:cstheme="minorHAnsi"/>
          <w:color w:val="1F3763"/>
        </w:rPr>
      </w:pPr>
      <w:r w:rsidRPr="0086341E">
        <w:rPr>
          <w:rFonts w:asciiTheme="minorHAnsi" w:hAnsiTheme="minorHAnsi" w:cstheme="minorHAnsi"/>
        </w:rPr>
        <w:t>Background reading</w:t>
      </w:r>
      <w:r w:rsidR="00C777DC" w:rsidRPr="0086341E">
        <w:rPr>
          <w:rFonts w:asciiTheme="minorHAnsi" w:hAnsiTheme="minorHAnsi" w:cstheme="minorHAnsi"/>
        </w:rPr>
        <w:t>:</w:t>
      </w:r>
    </w:p>
    <w:p w14:paraId="15ECF27A" w14:textId="77777777" w:rsidR="00AD2F30" w:rsidRPr="0086341E" w:rsidRDefault="00AD2F30" w:rsidP="00AD2F30">
      <w:pPr>
        <w:jc w:val="both"/>
        <w:rPr>
          <w:rFonts w:eastAsia="Times New Roman" w:cstheme="minorHAnsi"/>
          <w:color w:val="212121"/>
          <w:shd w:val="clear" w:color="auto" w:fill="FFFFFF"/>
          <w:lang w:eastAsia="en-GB"/>
        </w:rPr>
      </w:pPr>
    </w:p>
    <w:p w14:paraId="4F1FACCB" w14:textId="0A0091D8" w:rsidR="00AD2F30" w:rsidRPr="0086341E" w:rsidRDefault="00AD2F30" w:rsidP="00AD2F30">
      <w:pPr>
        <w:jc w:val="both"/>
        <w:rPr>
          <w:rFonts w:eastAsia="Times New Roman" w:cstheme="minorHAnsi"/>
          <w:color w:val="212121"/>
          <w:shd w:val="clear" w:color="auto" w:fill="FFFFFF"/>
          <w:lang w:eastAsia="en-GB"/>
        </w:rPr>
      </w:pPr>
      <w:r w:rsidRPr="0086341E">
        <w:rPr>
          <w:rFonts w:eastAsia="Times New Roman" w:cstheme="minorHAnsi"/>
          <w:color w:val="212121"/>
          <w:shd w:val="clear" w:color="auto" w:fill="FFFFFF"/>
          <w:lang w:eastAsia="en-GB"/>
        </w:rPr>
        <w:t>Munis, A. M., Hyde, S. C., &amp; Gill, D. R. (</w:t>
      </w:r>
      <w:r w:rsidRPr="0086341E">
        <w:rPr>
          <w:rFonts w:eastAsia="Times New Roman" w:cstheme="minorHAnsi"/>
          <w:b/>
          <w:color w:val="212121"/>
          <w:shd w:val="clear" w:color="auto" w:fill="FFFFFF"/>
          <w:lang w:eastAsia="en-GB"/>
        </w:rPr>
        <w:t>2020</w:t>
      </w:r>
      <w:r w:rsidRPr="0086341E">
        <w:rPr>
          <w:rFonts w:eastAsia="Times New Roman" w:cstheme="minorHAnsi"/>
          <w:color w:val="212121"/>
          <w:shd w:val="clear" w:color="auto" w:fill="FFFFFF"/>
          <w:lang w:eastAsia="en-GB"/>
        </w:rPr>
        <w:t>). A human surfactant B deficiency air-liquid interface cell culture model suitable for gene therapy applications. </w:t>
      </w:r>
      <w:r w:rsidRPr="0086341E">
        <w:rPr>
          <w:rFonts w:eastAsia="Times New Roman" w:cstheme="minorHAnsi"/>
          <w:i/>
          <w:iCs/>
          <w:color w:val="212121"/>
          <w:shd w:val="clear" w:color="auto" w:fill="FFFFFF"/>
          <w:lang w:eastAsia="en-GB"/>
        </w:rPr>
        <w:t>Molecular therapy. Methods &amp; clinical development</w:t>
      </w:r>
      <w:r w:rsidRPr="0086341E">
        <w:rPr>
          <w:rFonts w:eastAsia="Times New Roman" w:cstheme="minorHAnsi"/>
          <w:color w:val="212121"/>
          <w:shd w:val="clear" w:color="auto" w:fill="FFFFFF"/>
          <w:lang w:eastAsia="en-GB"/>
        </w:rPr>
        <w:t>, </w:t>
      </w:r>
      <w:r w:rsidRPr="0086341E">
        <w:rPr>
          <w:rFonts w:eastAsia="Times New Roman" w:cstheme="minorHAnsi"/>
          <w:i/>
          <w:iCs/>
          <w:color w:val="212121"/>
          <w:shd w:val="clear" w:color="auto" w:fill="FFFFFF"/>
          <w:lang w:eastAsia="en-GB"/>
        </w:rPr>
        <w:t>20</w:t>
      </w:r>
      <w:r w:rsidRPr="0086341E">
        <w:rPr>
          <w:rFonts w:eastAsia="Times New Roman" w:cstheme="minorHAnsi"/>
          <w:color w:val="212121"/>
          <w:shd w:val="clear" w:color="auto" w:fill="FFFFFF"/>
          <w:lang w:eastAsia="en-GB"/>
        </w:rPr>
        <w:t xml:space="preserve">, 237–246. </w:t>
      </w:r>
      <w:hyperlink r:id="rId13" w:history="1">
        <w:r w:rsidRPr="0086341E">
          <w:rPr>
            <w:rStyle w:val="Hyperlink"/>
            <w:rFonts w:eastAsia="Times New Roman" w:cstheme="minorHAnsi"/>
            <w:shd w:val="clear" w:color="auto" w:fill="FFFFFF"/>
            <w:lang w:eastAsia="en-GB"/>
          </w:rPr>
          <w:t>https://doi.org/10.1016/j.omtm.2020.11.013</w:t>
        </w:r>
      </w:hyperlink>
    </w:p>
    <w:p w14:paraId="3CB9C03E" w14:textId="2C51F4A6" w:rsidR="00AD2F30" w:rsidRPr="0086341E" w:rsidRDefault="00AD2F30" w:rsidP="00AD2F30">
      <w:pPr>
        <w:jc w:val="both"/>
        <w:rPr>
          <w:rFonts w:eastAsia="Times New Roman" w:cstheme="minorHAnsi"/>
          <w:color w:val="212121"/>
          <w:shd w:val="clear" w:color="auto" w:fill="FFFFFF"/>
          <w:lang w:eastAsia="en-GB"/>
        </w:rPr>
      </w:pPr>
      <w:r w:rsidRPr="0086341E">
        <w:rPr>
          <w:rFonts w:eastAsia="Times New Roman" w:cstheme="minorHAnsi"/>
          <w:color w:val="212121"/>
          <w:shd w:val="clear" w:color="auto" w:fill="FFFFFF"/>
          <w:lang w:eastAsia="en-GB"/>
        </w:rPr>
        <w:t>van Haasteren, J., Munis, A. M., Gill, D. R., &amp; Hyde, S. C. (</w:t>
      </w:r>
      <w:r w:rsidRPr="0086341E">
        <w:rPr>
          <w:rFonts w:eastAsia="Times New Roman" w:cstheme="minorHAnsi"/>
          <w:b/>
          <w:color w:val="212121"/>
          <w:shd w:val="clear" w:color="auto" w:fill="FFFFFF"/>
          <w:lang w:eastAsia="en-GB"/>
        </w:rPr>
        <w:t>2021</w:t>
      </w:r>
      <w:r w:rsidRPr="0086341E">
        <w:rPr>
          <w:rFonts w:eastAsia="Times New Roman" w:cstheme="minorHAnsi"/>
          <w:color w:val="212121"/>
          <w:shd w:val="clear" w:color="auto" w:fill="FFFFFF"/>
          <w:lang w:eastAsia="en-GB"/>
        </w:rPr>
        <w:t>). Genome-wide integration site detection using Cas9 enriched amplification-free long-range sequencing. </w:t>
      </w:r>
      <w:r w:rsidRPr="0086341E">
        <w:rPr>
          <w:rFonts w:eastAsia="Times New Roman" w:cstheme="minorHAnsi"/>
          <w:i/>
          <w:iCs/>
          <w:color w:val="212121"/>
          <w:shd w:val="clear" w:color="auto" w:fill="FFFFFF"/>
          <w:lang w:eastAsia="en-GB"/>
        </w:rPr>
        <w:t>Nucleic acids research</w:t>
      </w:r>
      <w:r w:rsidRPr="0086341E">
        <w:rPr>
          <w:rFonts w:eastAsia="Times New Roman" w:cstheme="minorHAnsi"/>
          <w:color w:val="212121"/>
          <w:shd w:val="clear" w:color="auto" w:fill="FFFFFF"/>
          <w:lang w:eastAsia="en-GB"/>
        </w:rPr>
        <w:t>, </w:t>
      </w:r>
      <w:r w:rsidRPr="0086341E">
        <w:rPr>
          <w:rFonts w:eastAsia="Times New Roman" w:cstheme="minorHAnsi"/>
          <w:i/>
          <w:iCs/>
          <w:color w:val="212121"/>
          <w:shd w:val="clear" w:color="auto" w:fill="FFFFFF"/>
          <w:lang w:eastAsia="en-GB"/>
        </w:rPr>
        <w:t>49</w:t>
      </w:r>
      <w:r w:rsidRPr="0086341E">
        <w:rPr>
          <w:rFonts w:eastAsia="Times New Roman" w:cstheme="minorHAnsi"/>
          <w:color w:val="212121"/>
          <w:shd w:val="clear" w:color="auto" w:fill="FFFFFF"/>
          <w:lang w:eastAsia="en-GB"/>
        </w:rPr>
        <w:t xml:space="preserve">(3), e16. </w:t>
      </w:r>
      <w:hyperlink r:id="rId14" w:history="1">
        <w:r w:rsidRPr="0086341E">
          <w:rPr>
            <w:rStyle w:val="Hyperlink"/>
            <w:rFonts w:eastAsia="Times New Roman" w:cstheme="minorHAnsi"/>
            <w:shd w:val="clear" w:color="auto" w:fill="FFFFFF"/>
            <w:lang w:eastAsia="en-GB"/>
          </w:rPr>
          <w:t>https://doi.org/10.1093/nar/gkaa1152</w:t>
        </w:r>
      </w:hyperlink>
    </w:p>
    <w:p w14:paraId="49A5D185" w14:textId="672F579F" w:rsidR="00AD2F30" w:rsidRPr="0086341E" w:rsidRDefault="00AD2F30" w:rsidP="00AD2F30">
      <w:pPr>
        <w:jc w:val="both"/>
        <w:rPr>
          <w:rFonts w:eastAsia="Times New Roman" w:cstheme="minorHAnsi"/>
          <w:color w:val="303030"/>
          <w:shd w:val="clear" w:color="auto" w:fill="FFFFFF"/>
          <w:lang w:eastAsia="en-GB"/>
        </w:rPr>
      </w:pPr>
      <w:r w:rsidRPr="0086341E">
        <w:rPr>
          <w:rFonts w:eastAsia="Times New Roman" w:cstheme="minorHAnsi"/>
          <w:color w:val="303030"/>
          <w:shd w:val="clear" w:color="auto" w:fill="FFFFFF"/>
          <w:lang w:eastAsia="en-GB"/>
        </w:rPr>
        <w:t xml:space="preserve">Miura, H., </w:t>
      </w:r>
      <w:proofErr w:type="spellStart"/>
      <w:r w:rsidRPr="0086341E">
        <w:rPr>
          <w:rFonts w:eastAsia="Times New Roman" w:cstheme="minorHAnsi"/>
          <w:color w:val="303030"/>
          <w:shd w:val="clear" w:color="auto" w:fill="FFFFFF"/>
          <w:lang w:eastAsia="en-GB"/>
        </w:rPr>
        <w:t>Imafuku</w:t>
      </w:r>
      <w:proofErr w:type="spellEnd"/>
      <w:r w:rsidRPr="0086341E">
        <w:rPr>
          <w:rFonts w:eastAsia="Times New Roman" w:cstheme="minorHAnsi"/>
          <w:color w:val="303030"/>
          <w:shd w:val="clear" w:color="auto" w:fill="FFFFFF"/>
          <w:lang w:eastAsia="en-GB"/>
        </w:rPr>
        <w:t xml:space="preserve">, J., Kurosaki, A., Sato, M., Ma, Y., Zhang, G., </w:t>
      </w:r>
      <w:proofErr w:type="spellStart"/>
      <w:r w:rsidRPr="0086341E">
        <w:rPr>
          <w:rFonts w:eastAsia="Times New Roman" w:cstheme="minorHAnsi"/>
          <w:color w:val="303030"/>
          <w:shd w:val="clear" w:color="auto" w:fill="FFFFFF"/>
          <w:lang w:eastAsia="en-GB"/>
        </w:rPr>
        <w:t>Mizutani</w:t>
      </w:r>
      <w:proofErr w:type="spellEnd"/>
      <w:r w:rsidRPr="0086341E">
        <w:rPr>
          <w:rFonts w:eastAsia="Times New Roman" w:cstheme="minorHAnsi"/>
          <w:color w:val="303030"/>
          <w:shd w:val="clear" w:color="auto" w:fill="FFFFFF"/>
          <w:lang w:eastAsia="en-GB"/>
        </w:rPr>
        <w:t xml:space="preserve">, A., </w:t>
      </w:r>
      <w:proofErr w:type="spellStart"/>
      <w:r w:rsidRPr="0086341E">
        <w:rPr>
          <w:rFonts w:eastAsia="Times New Roman" w:cstheme="minorHAnsi"/>
          <w:color w:val="303030"/>
          <w:shd w:val="clear" w:color="auto" w:fill="FFFFFF"/>
          <w:lang w:eastAsia="en-GB"/>
        </w:rPr>
        <w:t>Kamimura</w:t>
      </w:r>
      <w:proofErr w:type="spellEnd"/>
      <w:r w:rsidRPr="0086341E">
        <w:rPr>
          <w:rFonts w:eastAsia="Times New Roman" w:cstheme="minorHAnsi"/>
          <w:color w:val="303030"/>
          <w:shd w:val="clear" w:color="auto" w:fill="FFFFFF"/>
          <w:lang w:eastAsia="en-GB"/>
        </w:rPr>
        <w:t xml:space="preserve">, K., </w:t>
      </w:r>
      <w:proofErr w:type="spellStart"/>
      <w:r w:rsidRPr="0086341E">
        <w:rPr>
          <w:rFonts w:eastAsia="Times New Roman" w:cstheme="minorHAnsi"/>
          <w:color w:val="303030"/>
          <w:shd w:val="clear" w:color="auto" w:fill="FFFFFF"/>
          <w:lang w:eastAsia="en-GB"/>
        </w:rPr>
        <w:t>Gurumurthy</w:t>
      </w:r>
      <w:proofErr w:type="spellEnd"/>
      <w:r w:rsidRPr="0086341E">
        <w:rPr>
          <w:rFonts w:eastAsia="Times New Roman" w:cstheme="minorHAnsi"/>
          <w:color w:val="303030"/>
          <w:shd w:val="clear" w:color="auto" w:fill="FFFFFF"/>
          <w:lang w:eastAsia="en-GB"/>
        </w:rPr>
        <w:t xml:space="preserve">, C. B., Liu, D., &amp; </w:t>
      </w:r>
      <w:proofErr w:type="spellStart"/>
      <w:r w:rsidRPr="0086341E">
        <w:rPr>
          <w:rFonts w:eastAsia="Times New Roman" w:cstheme="minorHAnsi"/>
          <w:color w:val="303030"/>
          <w:shd w:val="clear" w:color="auto" w:fill="FFFFFF"/>
          <w:lang w:eastAsia="en-GB"/>
        </w:rPr>
        <w:t>Ohtsuka</w:t>
      </w:r>
      <w:proofErr w:type="spellEnd"/>
      <w:r w:rsidRPr="0086341E">
        <w:rPr>
          <w:rFonts w:eastAsia="Times New Roman" w:cstheme="minorHAnsi"/>
          <w:color w:val="303030"/>
          <w:shd w:val="clear" w:color="auto" w:fill="FFFFFF"/>
          <w:lang w:eastAsia="en-GB"/>
        </w:rPr>
        <w:t>, M. (</w:t>
      </w:r>
      <w:r w:rsidRPr="0086341E">
        <w:rPr>
          <w:rFonts w:eastAsia="Times New Roman" w:cstheme="minorHAnsi"/>
          <w:b/>
          <w:color w:val="303030"/>
          <w:shd w:val="clear" w:color="auto" w:fill="FFFFFF"/>
          <w:lang w:eastAsia="en-GB"/>
        </w:rPr>
        <w:t>2021</w:t>
      </w:r>
      <w:r w:rsidRPr="0086341E">
        <w:rPr>
          <w:rFonts w:eastAsia="Times New Roman" w:cstheme="minorHAnsi"/>
          <w:color w:val="303030"/>
          <w:shd w:val="clear" w:color="auto" w:fill="FFFFFF"/>
          <w:lang w:eastAsia="en-GB"/>
        </w:rPr>
        <w:t>). Novel reporter mouse models useful for evaluating </w:t>
      </w:r>
      <w:r w:rsidRPr="0086341E">
        <w:rPr>
          <w:rFonts w:eastAsia="Times New Roman" w:cstheme="minorHAnsi"/>
          <w:i/>
          <w:iCs/>
          <w:color w:val="303030"/>
          <w:shd w:val="clear" w:color="auto" w:fill="FFFFFF"/>
          <w:lang w:eastAsia="en-GB"/>
        </w:rPr>
        <w:t>in vivo</w:t>
      </w:r>
      <w:r w:rsidRPr="0086341E">
        <w:rPr>
          <w:rFonts w:eastAsia="Times New Roman" w:cstheme="minorHAnsi"/>
          <w:color w:val="303030"/>
          <w:shd w:val="clear" w:color="auto" w:fill="FFFFFF"/>
          <w:lang w:eastAsia="en-GB"/>
        </w:rPr>
        <w:t> gene editing and for optimization of methods of delivering genome editing tools. </w:t>
      </w:r>
      <w:r w:rsidRPr="0086341E">
        <w:rPr>
          <w:rFonts w:eastAsia="Times New Roman" w:cstheme="minorHAnsi"/>
          <w:i/>
          <w:iCs/>
          <w:color w:val="303030"/>
          <w:shd w:val="clear" w:color="auto" w:fill="FFFFFF"/>
          <w:lang w:eastAsia="en-GB"/>
        </w:rPr>
        <w:t>Molecular therapy. Nucleic acids</w:t>
      </w:r>
      <w:r w:rsidRPr="0086341E">
        <w:rPr>
          <w:rFonts w:eastAsia="Times New Roman" w:cstheme="minorHAnsi"/>
          <w:color w:val="303030"/>
          <w:shd w:val="clear" w:color="auto" w:fill="FFFFFF"/>
          <w:lang w:eastAsia="en-GB"/>
        </w:rPr>
        <w:t>, </w:t>
      </w:r>
      <w:r w:rsidRPr="0086341E">
        <w:rPr>
          <w:rFonts w:eastAsia="Times New Roman" w:cstheme="minorHAnsi"/>
          <w:i/>
          <w:iCs/>
          <w:color w:val="303030"/>
          <w:shd w:val="clear" w:color="auto" w:fill="FFFFFF"/>
          <w:lang w:eastAsia="en-GB"/>
        </w:rPr>
        <w:t>24</w:t>
      </w:r>
      <w:r w:rsidRPr="0086341E">
        <w:rPr>
          <w:rFonts w:eastAsia="Times New Roman" w:cstheme="minorHAnsi"/>
          <w:color w:val="303030"/>
          <w:shd w:val="clear" w:color="auto" w:fill="FFFFFF"/>
          <w:lang w:eastAsia="en-GB"/>
        </w:rPr>
        <w:t xml:space="preserve">, 325–336. </w:t>
      </w:r>
      <w:hyperlink r:id="rId15" w:history="1">
        <w:r w:rsidRPr="0086341E">
          <w:rPr>
            <w:rStyle w:val="Hyperlink"/>
            <w:rFonts w:eastAsia="Times New Roman" w:cstheme="minorHAnsi"/>
            <w:shd w:val="clear" w:color="auto" w:fill="FFFFFF"/>
            <w:lang w:eastAsia="en-GB"/>
          </w:rPr>
          <w:t>https://doi.org/10.1016/j.omtn.2021.03.003</w:t>
        </w:r>
      </w:hyperlink>
    </w:p>
    <w:p w14:paraId="46C8150B" w14:textId="78F544F2" w:rsidR="00AD2F30" w:rsidRPr="0086341E" w:rsidRDefault="00AD2F30" w:rsidP="00AD2F30">
      <w:pPr>
        <w:jc w:val="both"/>
        <w:rPr>
          <w:rFonts w:eastAsia="Times New Roman" w:cstheme="minorHAnsi"/>
          <w:color w:val="212121"/>
          <w:shd w:val="clear" w:color="auto" w:fill="FFFFFF"/>
          <w:lang w:eastAsia="en-GB"/>
        </w:rPr>
      </w:pPr>
      <w:r w:rsidRPr="0086341E">
        <w:rPr>
          <w:rFonts w:eastAsia="Times New Roman" w:cstheme="minorHAnsi"/>
          <w:color w:val="212121"/>
          <w:shd w:val="clear" w:color="auto" w:fill="FFFFFF"/>
          <w:lang w:eastAsia="en-GB"/>
        </w:rPr>
        <w:t xml:space="preserve">Hu, J., </w:t>
      </w:r>
      <w:proofErr w:type="spellStart"/>
      <w:r w:rsidRPr="0086341E">
        <w:rPr>
          <w:rFonts w:eastAsia="Times New Roman" w:cstheme="minorHAnsi"/>
          <w:color w:val="212121"/>
          <w:shd w:val="clear" w:color="auto" w:fill="FFFFFF"/>
          <w:lang w:eastAsia="en-GB"/>
        </w:rPr>
        <w:t>Bourne</w:t>
      </w:r>
      <w:proofErr w:type="spellEnd"/>
      <w:r w:rsidRPr="0086341E">
        <w:rPr>
          <w:rFonts w:eastAsia="Times New Roman" w:cstheme="minorHAnsi"/>
          <w:color w:val="212121"/>
          <w:shd w:val="clear" w:color="auto" w:fill="FFFFFF"/>
          <w:lang w:eastAsia="en-GB"/>
        </w:rPr>
        <w:t xml:space="preserve">, R. A., McGrath, B. C., Lin, A., Pei, Z., &amp; </w:t>
      </w:r>
      <w:proofErr w:type="spellStart"/>
      <w:r w:rsidRPr="0086341E">
        <w:rPr>
          <w:rFonts w:eastAsia="Times New Roman" w:cstheme="minorHAnsi"/>
          <w:color w:val="212121"/>
          <w:shd w:val="clear" w:color="auto" w:fill="FFFFFF"/>
          <w:lang w:eastAsia="en-GB"/>
        </w:rPr>
        <w:t>Cavener</w:t>
      </w:r>
      <w:proofErr w:type="spellEnd"/>
      <w:r w:rsidRPr="0086341E">
        <w:rPr>
          <w:rFonts w:eastAsia="Times New Roman" w:cstheme="minorHAnsi"/>
          <w:color w:val="212121"/>
          <w:shd w:val="clear" w:color="auto" w:fill="FFFFFF"/>
          <w:lang w:eastAsia="en-GB"/>
        </w:rPr>
        <w:t>, D. R. (</w:t>
      </w:r>
      <w:r w:rsidRPr="0086341E">
        <w:rPr>
          <w:rFonts w:eastAsia="Times New Roman" w:cstheme="minorHAnsi"/>
          <w:b/>
          <w:color w:val="212121"/>
          <w:shd w:val="clear" w:color="auto" w:fill="FFFFFF"/>
          <w:lang w:eastAsia="en-GB"/>
        </w:rPr>
        <w:t>2021</w:t>
      </w:r>
      <w:r w:rsidRPr="0086341E">
        <w:rPr>
          <w:rFonts w:eastAsia="Times New Roman" w:cstheme="minorHAnsi"/>
          <w:color w:val="212121"/>
          <w:shd w:val="clear" w:color="auto" w:fill="FFFFFF"/>
          <w:lang w:eastAsia="en-GB"/>
        </w:rPr>
        <w:t>). Co-opting regulation bypass repair as a gene correction strategy for monogenic diseases. </w:t>
      </w:r>
      <w:r w:rsidRPr="0086341E">
        <w:rPr>
          <w:rFonts w:eastAsia="Times New Roman" w:cstheme="minorHAnsi"/>
          <w:i/>
          <w:iCs/>
          <w:color w:val="212121"/>
          <w:shd w:val="clear" w:color="auto" w:fill="FFFFFF"/>
          <w:lang w:eastAsia="en-GB"/>
        </w:rPr>
        <w:t>Molecular therapy: the journal of the American Society of Gene Therapy</w:t>
      </w:r>
      <w:r w:rsidRPr="0086341E">
        <w:rPr>
          <w:rFonts w:eastAsia="Times New Roman" w:cstheme="minorHAnsi"/>
          <w:color w:val="212121"/>
          <w:shd w:val="clear" w:color="auto" w:fill="FFFFFF"/>
          <w:lang w:eastAsia="en-GB"/>
        </w:rPr>
        <w:t xml:space="preserve">, S1525-0016(21)00204-5. Advance online publication. </w:t>
      </w:r>
      <w:hyperlink r:id="rId16" w:history="1">
        <w:r w:rsidRPr="0086341E">
          <w:rPr>
            <w:rStyle w:val="Hyperlink"/>
            <w:rFonts w:eastAsia="Times New Roman" w:cstheme="minorHAnsi"/>
            <w:shd w:val="clear" w:color="auto" w:fill="FFFFFF"/>
            <w:lang w:eastAsia="en-GB"/>
          </w:rPr>
          <w:t>https://doi.org/10.1016/j.ymthe.2021.04.017</w:t>
        </w:r>
      </w:hyperlink>
    </w:p>
    <w:p w14:paraId="433DD447" w14:textId="36E99BD4" w:rsidR="00AD2F30" w:rsidRPr="0086341E" w:rsidRDefault="00AD2F30" w:rsidP="00AD2F30">
      <w:pPr>
        <w:jc w:val="both"/>
        <w:rPr>
          <w:rFonts w:eastAsia="Times New Roman" w:cstheme="minorHAnsi"/>
          <w:color w:val="212121"/>
          <w:shd w:val="clear" w:color="auto" w:fill="FFFFFF"/>
          <w:lang w:eastAsia="en-GB"/>
        </w:rPr>
      </w:pPr>
      <w:r w:rsidRPr="0086341E">
        <w:rPr>
          <w:rFonts w:eastAsia="Times New Roman" w:cstheme="minorHAnsi"/>
          <w:color w:val="212121"/>
          <w:shd w:val="clear" w:color="auto" w:fill="FFFFFF"/>
          <w:lang w:eastAsia="en-GB"/>
        </w:rPr>
        <w:t xml:space="preserve">Kelly, J. J., </w:t>
      </w:r>
      <w:proofErr w:type="spellStart"/>
      <w:r w:rsidRPr="0086341E">
        <w:rPr>
          <w:rFonts w:eastAsia="Times New Roman" w:cstheme="minorHAnsi"/>
          <w:color w:val="212121"/>
          <w:shd w:val="clear" w:color="auto" w:fill="FFFFFF"/>
          <w:lang w:eastAsia="en-GB"/>
        </w:rPr>
        <w:t>Saee-Marand</w:t>
      </w:r>
      <w:proofErr w:type="spellEnd"/>
      <w:r w:rsidRPr="0086341E">
        <w:rPr>
          <w:rFonts w:eastAsia="Times New Roman" w:cstheme="minorHAnsi"/>
          <w:color w:val="212121"/>
          <w:shd w:val="clear" w:color="auto" w:fill="FFFFFF"/>
          <w:lang w:eastAsia="en-GB"/>
        </w:rPr>
        <w:t xml:space="preserve">, M., </w:t>
      </w:r>
      <w:proofErr w:type="spellStart"/>
      <w:r w:rsidRPr="0086341E">
        <w:rPr>
          <w:rFonts w:eastAsia="Times New Roman" w:cstheme="minorHAnsi"/>
          <w:color w:val="212121"/>
          <w:shd w:val="clear" w:color="auto" w:fill="FFFFFF"/>
          <w:lang w:eastAsia="en-GB"/>
        </w:rPr>
        <w:t>Nyström</w:t>
      </w:r>
      <w:proofErr w:type="spellEnd"/>
      <w:r w:rsidRPr="0086341E">
        <w:rPr>
          <w:rFonts w:eastAsia="Times New Roman" w:cstheme="minorHAnsi"/>
          <w:color w:val="212121"/>
          <w:shd w:val="clear" w:color="auto" w:fill="FFFFFF"/>
          <w:lang w:eastAsia="en-GB"/>
        </w:rPr>
        <w:t>, N. N., Evans, M. M., Chen, Y., Martinez, F. M., Hamilton, A. M., &amp; Ronald, J. A. (</w:t>
      </w:r>
      <w:r w:rsidRPr="0086341E">
        <w:rPr>
          <w:rFonts w:eastAsia="Times New Roman" w:cstheme="minorHAnsi"/>
          <w:b/>
          <w:color w:val="212121"/>
          <w:shd w:val="clear" w:color="auto" w:fill="FFFFFF"/>
          <w:lang w:eastAsia="en-GB"/>
        </w:rPr>
        <w:t>2021</w:t>
      </w:r>
      <w:r w:rsidRPr="0086341E">
        <w:rPr>
          <w:rFonts w:eastAsia="Times New Roman" w:cstheme="minorHAnsi"/>
          <w:color w:val="212121"/>
          <w:shd w:val="clear" w:color="auto" w:fill="FFFFFF"/>
          <w:lang w:eastAsia="en-GB"/>
        </w:rPr>
        <w:t xml:space="preserve">). Safe </w:t>
      </w:r>
      <w:proofErr w:type="spellStart"/>
      <w:r w:rsidRPr="0086341E">
        <w:rPr>
          <w:rFonts w:eastAsia="Times New Roman" w:cstheme="minorHAnsi"/>
          <w:color w:val="212121"/>
          <w:shd w:val="clear" w:color="auto" w:fill="FFFFFF"/>
          <w:lang w:eastAsia="en-GB"/>
        </w:rPr>
        <w:t>harbor</w:t>
      </w:r>
      <w:proofErr w:type="spellEnd"/>
      <w:r w:rsidRPr="0086341E">
        <w:rPr>
          <w:rFonts w:eastAsia="Times New Roman" w:cstheme="minorHAnsi"/>
          <w:color w:val="212121"/>
          <w:shd w:val="clear" w:color="auto" w:fill="FFFFFF"/>
          <w:lang w:eastAsia="en-GB"/>
        </w:rPr>
        <w:t>-targeted CRISPR-Cas9 homology-independent targeted integration for multimodality reporter gene-based cell tracking. </w:t>
      </w:r>
      <w:r w:rsidRPr="0086341E">
        <w:rPr>
          <w:rFonts w:eastAsia="Times New Roman" w:cstheme="minorHAnsi"/>
          <w:i/>
          <w:iCs/>
          <w:color w:val="212121"/>
          <w:shd w:val="clear" w:color="auto" w:fill="FFFFFF"/>
          <w:lang w:eastAsia="en-GB"/>
        </w:rPr>
        <w:t>Science advances</w:t>
      </w:r>
      <w:r w:rsidRPr="0086341E">
        <w:rPr>
          <w:rFonts w:eastAsia="Times New Roman" w:cstheme="minorHAnsi"/>
          <w:color w:val="212121"/>
          <w:shd w:val="clear" w:color="auto" w:fill="FFFFFF"/>
          <w:lang w:eastAsia="en-GB"/>
        </w:rPr>
        <w:t>, </w:t>
      </w:r>
      <w:r w:rsidRPr="0086341E">
        <w:rPr>
          <w:rFonts w:eastAsia="Times New Roman" w:cstheme="minorHAnsi"/>
          <w:i/>
          <w:iCs/>
          <w:color w:val="212121"/>
          <w:shd w:val="clear" w:color="auto" w:fill="FFFFFF"/>
          <w:lang w:eastAsia="en-GB"/>
        </w:rPr>
        <w:t>7</w:t>
      </w:r>
      <w:r w:rsidRPr="0086341E">
        <w:rPr>
          <w:rFonts w:eastAsia="Times New Roman" w:cstheme="minorHAnsi"/>
          <w:color w:val="212121"/>
          <w:shd w:val="clear" w:color="auto" w:fill="FFFFFF"/>
          <w:lang w:eastAsia="en-GB"/>
        </w:rPr>
        <w:t xml:space="preserve">(4), eabc3791. </w:t>
      </w:r>
      <w:hyperlink r:id="rId17" w:history="1">
        <w:r w:rsidRPr="0086341E">
          <w:rPr>
            <w:rStyle w:val="Hyperlink"/>
            <w:rFonts w:eastAsia="Times New Roman" w:cstheme="minorHAnsi"/>
            <w:shd w:val="clear" w:color="auto" w:fill="FFFFFF"/>
            <w:lang w:eastAsia="en-GB"/>
          </w:rPr>
          <w:t>https://doi.org/10.1126/sciadv.abc3791</w:t>
        </w:r>
      </w:hyperlink>
    </w:p>
    <w:p w14:paraId="4990835B" w14:textId="77777777" w:rsidR="00AD2F30" w:rsidRPr="00AD2F30" w:rsidRDefault="00AD2F30" w:rsidP="00AD2F30">
      <w:pPr>
        <w:jc w:val="both"/>
        <w:rPr>
          <w:rFonts w:eastAsia="Times New Roman" w:cstheme="minorHAnsi"/>
          <w:color w:val="212121"/>
          <w:shd w:val="clear" w:color="auto" w:fill="FFFFFF"/>
          <w:lang w:eastAsia="en-GB"/>
        </w:rPr>
      </w:pPr>
    </w:p>
    <w:p w14:paraId="360584B4" w14:textId="77777777" w:rsidR="00AD2F30" w:rsidRPr="00AD2F30" w:rsidRDefault="00AD2F30" w:rsidP="00AD2F30">
      <w:pPr>
        <w:rPr>
          <w:rFonts w:cstheme="minorHAnsi"/>
        </w:rPr>
      </w:pPr>
    </w:p>
    <w:p w14:paraId="22EBAD3B" w14:textId="1EF61CF4" w:rsidR="7FD3CFA3" w:rsidRDefault="7FD3CFA3" w:rsidP="7FD3CFA3">
      <w:pPr>
        <w:rPr>
          <w:rStyle w:val="Heading3Char"/>
        </w:rPr>
      </w:pPr>
    </w:p>
    <w:p w14:paraId="2D905E97" w14:textId="01D76ADD" w:rsidR="7FB932B3" w:rsidRDefault="7FB932B3" w:rsidP="7FB932B3"/>
    <w:sectPr w:rsidR="7FB932B3">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2B087" w14:textId="77777777" w:rsidR="000F1F91" w:rsidRDefault="000F1F91">
      <w:pPr>
        <w:spacing w:after="0" w:line="240" w:lineRule="auto"/>
      </w:pPr>
      <w:r>
        <w:separator/>
      </w:r>
    </w:p>
  </w:endnote>
  <w:endnote w:type="continuationSeparator" w:id="0">
    <w:p w14:paraId="104D9BF6" w14:textId="77777777" w:rsidR="000F1F91" w:rsidRDefault="000F1F91">
      <w:pPr>
        <w:spacing w:after="0" w:line="240" w:lineRule="auto"/>
      </w:pPr>
      <w:r>
        <w:continuationSeparator/>
      </w:r>
    </w:p>
  </w:endnote>
  <w:endnote w:type="continuationNotice" w:id="1">
    <w:p w14:paraId="155C4E1A" w14:textId="77777777" w:rsidR="000F1F91" w:rsidRDefault="000F1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002E461D" w14:paraId="27769AF1" w14:textId="77777777" w:rsidTr="7FD3CFA3">
      <w:tc>
        <w:tcPr>
          <w:tcW w:w="3005" w:type="dxa"/>
        </w:tcPr>
        <w:p w14:paraId="111EA8BA" w14:textId="6C2A9936" w:rsidR="002E461D" w:rsidRDefault="002E461D" w:rsidP="7FD3CFA3">
          <w:pPr>
            <w:pStyle w:val="Header"/>
            <w:jc w:val="center"/>
          </w:pPr>
        </w:p>
      </w:tc>
      <w:tc>
        <w:tcPr>
          <w:tcW w:w="3005" w:type="dxa"/>
        </w:tcPr>
        <w:p w14:paraId="330EDF0C" w14:textId="70D7DF35" w:rsidR="002E461D" w:rsidRDefault="002E461D" w:rsidP="7FD3CFA3">
          <w:pPr>
            <w:pStyle w:val="Header"/>
            <w:ind w:right="-115"/>
            <w:jc w:val="right"/>
          </w:pPr>
        </w:p>
      </w:tc>
    </w:tr>
  </w:tbl>
  <w:p w14:paraId="1A6D8023" w14:textId="2F243648" w:rsidR="002E461D" w:rsidRDefault="002E461D"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C8BC6" w14:textId="77777777" w:rsidR="000F1F91" w:rsidRDefault="000F1F91">
      <w:pPr>
        <w:spacing w:after="0" w:line="240" w:lineRule="auto"/>
      </w:pPr>
      <w:r>
        <w:separator/>
      </w:r>
    </w:p>
  </w:footnote>
  <w:footnote w:type="continuationSeparator" w:id="0">
    <w:p w14:paraId="127FCA43" w14:textId="77777777" w:rsidR="000F1F91" w:rsidRDefault="000F1F91">
      <w:pPr>
        <w:spacing w:after="0" w:line="240" w:lineRule="auto"/>
      </w:pPr>
      <w:r>
        <w:continuationSeparator/>
      </w:r>
    </w:p>
  </w:footnote>
  <w:footnote w:type="continuationNotice" w:id="1">
    <w:p w14:paraId="6A611F27" w14:textId="77777777" w:rsidR="000F1F91" w:rsidRDefault="000F1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2E461D" w14:paraId="5906F55D" w14:textId="77777777" w:rsidTr="7FD3CFA3">
      <w:tc>
        <w:tcPr>
          <w:tcW w:w="3005" w:type="dxa"/>
        </w:tcPr>
        <w:p w14:paraId="48D8E565" w14:textId="587E6193" w:rsidR="002E461D" w:rsidRDefault="002E461D" w:rsidP="7FD3CFA3">
          <w:pPr>
            <w:pStyle w:val="Header"/>
            <w:ind w:left="-115"/>
          </w:pPr>
        </w:p>
      </w:tc>
      <w:tc>
        <w:tcPr>
          <w:tcW w:w="3005" w:type="dxa"/>
        </w:tcPr>
        <w:p w14:paraId="6B8AD47A" w14:textId="7271082E" w:rsidR="002E461D" w:rsidRDefault="002E461D" w:rsidP="7FD3CFA3">
          <w:pPr>
            <w:pStyle w:val="Header"/>
            <w:jc w:val="center"/>
          </w:pPr>
        </w:p>
      </w:tc>
      <w:tc>
        <w:tcPr>
          <w:tcW w:w="3005" w:type="dxa"/>
        </w:tcPr>
        <w:p w14:paraId="0F5CF67E" w14:textId="04951491" w:rsidR="002E461D" w:rsidRDefault="002E461D" w:rsidP="7FD3CFA3">
          <w:pPr>
            <w:pStyle w:val="Header"/>
            <w:ind w:right="-115"/>
            <w:jc w:val="right"/>
          </w:pPr>
        </w:p>
      </w:tc>
    </w:tr>
  </w:tbl>
  <w:p w14:paraId="10F9C699" w14:textId="4666681D" w:rsidR="002E461D" w:rsidRDefault="002E461D"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3F848B7"/>
    <w:multiLevelType w:val="hybridMultilevel"/>
    <w:tmpl w:val="A58A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3"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4"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6"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0"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8"/>
  </w:num>
  <w:num w:numId="5">
    <w:abstractNumId w:val="6"/>
  </w:num>
  <w:num w:numId="6">
    <w:abstractNumId w:val="7"/>
  </w:num>
  <w:num w:numId="7">
    <w:abstractNumId w:val="9"/>
  </w:num>
  <w:num w:numId="8">
    <w:abstractNumId w:val="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0F1F91"/>
    <w:rsid w:val="0011698A"/>
    <w:rsid w:val="001843B7"/>
    <w:rsid w:val="001A1EFC"/>
    <w:rsid w:val="001A6B3E"/>
    <w:rsid w:val="001B03C6"/>
    <w:rsid w:val="001F5E77"/>
    <w:rsid w:val="00202C4D"/>
    <w:rsid w:val="002302D4"/>
    <w:rsid w:val="0023085C"/>
    <w:rsid w:val="002649E5"/>
    <w:rsid w:val="00274294"/>
    <w:rsid w:val="002E461D"/>
    <w:rsid w:val="002F4544"/>
    <w:rsid w:val="00302806"/>
    <w:rsid w:val="00311642"/>
    <w:rsid w:val="00316B23"/>
    <w:rsid w:val="0032219B"/>
    <w:rsid w:val="00353570"/>
    <w:rsid w:val="003565FC"/>
    <w:rsid w:val="003764D2"/>
    <w:rsid w:val="003A1DA0"/>
    <w:rsid w:val="003A40EA"/>
    <w:rsid w:val="003A41D2"/>
    <w:rsid w:val="003A527B"/>
    <w:rsid w:val="003B0D2F"/>
    <w:rsid w:val="003B62E4"/>
    <w:rsid w:val="003E2BDE"/>
    <w:rsid w:val="004022ED"/>
    <w:rsid w:val="00432623"/>
    <w:rsid w:val="00440FA7"/>
    <w:rsid w:val="00466D28"/>
    <w:rsid w:val="004A69A0"/>
    <w:rsid w:val="00517D7C"/>
    <w:rsid w:val="00520465"/>
    <w:rsid w:val="00561C76"/>
    <w:rsid w:val="005808C6"/>
    <w:rsid w:val="005A096A"/>
    <w:rsid w:val="005B365E"/>
    <w:rsid w:val="005F7468"/>
    <w:rsid w:val="0065112B"/>
    <w:rsid w:val="00680D62"/>
    <w:rsid w:val="00693663"/>
    <w:rsid w:val="006A20A7"/>
    <w:rsid w:val="006A764D"/>
    <w:rsid w:val="006C080B"/>
    <w:rsid w:val="006C3539"/>
    <w:rsid w:val="006F537F"/>
    <w:rsid w:val="00712327"/>
    <w:rsid w:val="00747512"/>
    <w:rsid w:val="0077377E"/>
    <w:rsid w:val="007D6824"/>
    <w:rsid w:val="007F2F35"/>
    <w:rsid w:val="00807782"/>
    <w:rsid w:val="008154D5"/>
    <w:rsid w:val="00825CDC"/>
    <w:rsid w:val="0086341E"/>
    <w:rsid w:val="008813B3"/>
    <w:rsid w:val="00897696"/>
    <w:rsid w:val="008C6A4B"/>
    <w:rsid w:val="00904427"/>
    <w:rsid w:val="009171AD"/>
    <w:rsid w:val="00960A90"/>
    <w:rsid w:val="009E6E0B"/>
    <w:rsid w:val="009F7259"/>
    <w:rsid w:val="00A33B99"/>
    <w:rsid w:val="00A450B2"/>
    <w:rsid w:val="00A8315D"/>
    <w:rsid w:val="00AC578C"/>
    <w:rsid w:val="00AD2F30"/>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26C3B"/>
    <w:rsid w:val="00D461D2"/>
    <w:rsid w:val="00D666F3"/>
    <w:rsid w:val="00D921A5"/>
    <w:rsid w:val="00DA7385"/>
    <w:rsid w:val="00DB1939"/>
    <w:rsid w:val="00E06AB2"/>
    <w:rsid w:val="00E57873"/>
    <w:rsid w:val="00EA21C7"/>
    <w:rsid w:val="00EA2468"/>
    <w:rsid w:val="00ED0447"/>
    <w:rsid w:val="00ED7915"/>
    <w:rsid w:val="00EE2F3F"/>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D26C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j.omtm.2020.11.01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eborah.gill@ndcls.ox.ac.uk" TargetMode="External"/><Relationship Id="rId17" Type="http://schemas.openxmlformats.org/officeDocument/2006/relationships/hyperlink" Target="https://doi.org/10.1126/sciadv.abc3791" TargetMode="External"/><Relationship Id="rId2" Type="http://schemas.openxmlformats.org/officeDocument/2006/relationships/customXml" Target="../customXml/item2.xml"/><Relationship Id="rId16" Type="http://schemas.openxmlformats.org/officeDocument/2006/relationships/hyperlink" Target="https://doi.org/10.1016/j.ymthe.2021.04.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dm.ox.ac.uk/people/deborah-gill" TargetMode="External"/><Relationship Id="rId5" Type="http://schemas.openxmlformats.org/officeDocument/2006/relationships/styles" Target="styles.xml"/><Relationship Id="rId15" Type="http://schemas.openxmlformats.org/officeDocument/2006/relationships/hyperlink" Target="https://doi.org/10.1016/j.omtn.2021.03.003"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93/nar/gkaa1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55709F4F-79C7-4F92-8E91-864D5395B44E}"/>
</file>

<file path=customXml/itemProps3.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Altar Munis</cp:lastModifiedBy>
  <cp:revision>2</cp:revision>
  <dcterms:created xsi:type="dcterms:W3CDTF">2021-07-20T09:33:00Z</dcterms:created>
  <dcterms:modified xsi:type="dcterms:W3CDTF">2021-07-20T09:33:00Z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