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383D7F9C" w:rsidR="00904427" w:rsidRPr="00904427" w:rsidRDefault="00F42C71" w:rsidP="7FD3CFA3">
      <w:pPr>
        <w:pStyle w:val="Heading2"/>
        <w:rPr>
          <w:sz w:val="32"/>
          <w:szCs w:val="32"/>
        </w:rPr>
      </w:pPr>
      <w:r>
        <w:rPr>
          <w:sz w:val="28"/>
          <w:szCs w:val="28"/>
        </w:rPr>
        <w:t>Jim</w:t>
      </w:r>
      <w:r w:rsidR="00D461D2" w:rsidRPr="7FD3CFA3">
        <w:rPr>
          <w:sz w:val="28"/>
          <w:szCs w:val="28"/>
        </w:rPr>
        <w:t xml:space="preserve"> </w:t>
      </w:r>
      <w:r>
        <w:rPr>
          <w:sz w:val="28"/>
          <w:szCs w:val="28"/>
        </w:rPr>
        <w:t>Hughes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5EF41BF6" w:rsidR="582D06AA" w:rsidRDefault="00F42C71" w:rsidP="00DB1939">
            <w:r>
              <w:rPr>
                <w:noProof/>
              </w:rPr>
              <w:drawing>
                <wp:inline distT="0" distB="0" distL="0" distR="0" wp14:anchorId="55E18B9A" wp14:editId="31C32D38">
                  <wp:extent cx="1479550" cy="1381760"/>
                  <wp:effectExtent l="0" t="0" r="6350" b="2540"/>
                  <wp:docPr id="1" name="Picture 1" descr="A person in a black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ack shir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550" cy="1381760"/>
                          </a:xfrm>
                          <a:prstGeom prst="rect">
                            <a:avLst/>
                          </a:prstGeom>
                        </pic:spPr>
                      </pic:pic>
                    </a:graphicData>
                  </a:graphic>
                </wp:inline>
              </w:drawing>
            </w:r>
          </w:p>
        </w:tc>
        <w:tc>
          <w:tcPr>
            <w:tcW w:w="6469" w:type="dxa"/>
            <w:vAlign w:val="center"/>
          </w:tcPr>
          <w:p w14:paraId="6F50089E" w14:textId="77777777" w:rsidR="00D816BA" w:rsidRDefault="00222AC1">
            <w:pPr>
              <w:rPr>
                <w:rFonts w:eastAsia="Times New Roman" w:cstheme="minorHAnsi"/>
                <w:b/>
                <w:color w:val="000000" w:themeColor="text1"/>
                <w:shd w:val="clear" w:color="auto" w:fill="FFFFFF"/>
              </w:rPr>
            </w:pPr>
            <w:r w:rsidRPr="001F61AC">
              <w:rPr>
                <w:rFonts w:eastAsia="Times New Roman" w:cstheme="minorHAnsi"/>
                <w:b/>
                <w:color w:val="000000" w:themeColor="text1"/>
                <w:shd w:val="clear" w:color="auto" w:fill="FFFFFF"/>
              </w:rPr>
              <w:t>Professor Jim Hughes</w:t>
            </w:r>
          </w:p>
          <w:p w14:paraId="6A690A00" w14:textId="20837C9B" w:rsidR="7FB932B3" w:rsidRPr="00222AC1" w:rsidRDefault="7FB932B3">
            <w:pPr>
              <w:rPr>
                <w:rFonts w:eastAsia="Times New Roman" w:cstheme="minorHAnsi"/>
                <w:b/>
                <w:color w:val="000000" w:themeColor="text1"/>
                <w:shd w:val="clear" w:color="auto" w:fill="FFFFFF"/>
              </w:rPr>
            </w:pPr>
            <w:r w:rsidRPr="7FB932B3">
              <w:rPr>
                <w:rFonts w:ascii="Calibri" w:eastAsia="Calibri" w:hAnsi="Calibri" w:cs="Calibri"/>
                <w:b/>
                <w:bCs/>
              </w:rPr>
              <w:t>Titles</w:t>
            </w:r>
            <w:r w:rsidRPr="7FB932B3">
              <w:rPr>
                <w:rFonts w:ascii="Calibri" w:eastAsia="Calibri" w:hAnsi="Calibri" w:cs="Calibri"/>
              </w:rPr>
              <w:t xml:space="preserve">: </w:t>
            </w:r>
            <w:r w:rsidR="00DC3C9D" w:rsidRPr="001F61AC">
              <w:rPr>
                <w:rFonts w:eastAsia="Times New Roman" w:cstheme="minorHAnsi"/>
                <w:color w:val="000000" w:themeColor="text1"/>
                <w:shd w:val="clear" w:color="auto" w:fill="FFFFFF"/>
              </w:rPr>
              <w:t xml:space="preserve">Professor </w:t>
            </w:r>
            <w:r w:rsidR="00DC3C9D">
              <w:rPr>
                <w:rFonts w:eastAsia="Times New Roman" w:cstheme="minorHAnsi"/>
                <w:color w:val="000000" w:themeColor="text1"/>
                <w:shd w:val="clear" w:color="auto" w:fill="FFFFFF"/>
              </w:rPr>
              <w:t>o</w:t>
            </w:r>
            <w:r w:rsidR="00DC3C9D" w:rsidRPr="001F61AC">
              <w:rPr>
                <w:rFonts w:eastAsia="Times New Roman" w:cstheme="minorHAnsi"/>
                <w:color w:val="000000" w:themeColor="text1"/>
                <w:shd w:val="clear" w:color="auto" w:fill="FFFFFF"/>
              </w:rPr>
              <w:t xml:space="preserve">f Gene Regulation, </w:t>
            </w:r>
            <w:r w:rsidR="00DC3C9D" w:rsidRPr="001434FA">
              <w:rPr>
                <w:rFonts w:cstheme="minorHAnsi"/>
                <w:color w:val="000000" w:themeColor="text1"/>
              </w:rPr>
              <w:t xml:space="preserve">Group Leader </w:t>
            </w:r>
            <w:r w:rsidR="00DC3C9D" w:rsidRPr="001F61AC">
              <w:rPr>
                <w:rFonts w:cstheme="minorHAnsi"/>
                <w:color w:val="000000" w:themeColor="text1"/>
              </w:rPr>
              <w:t>/ PI</w:t>
            </w:r>
          </w:p>
          <w:p w14:paraId="11C46B0A" w14:textId="0E7658E5" w:rsidR="7FB932B3" w:rsidRDefault="4C15D40A">
            <w:r w:rsidRPr="7FD3CFA3">
              <w:rPr>
                <w:rFonts w:ascii="Calibri" w:eastAsia="Calibri" w:hAnsi="Calibri" w:cs="Calibri"/>
                <w:b/>
                <w:bCs/>
              </w:rPr>
              <w:t>Location</w:t>
            </w:r>
            <w:r w:rsidRPr="7FD3CFA3">
              <w:rPr>
                <w:rFonts w:ascii="Calibri" w:eastAsia="Calibri" w:hAnsi="Calibri" w:cs="Calibri"/>
              </w:rPr>
              <w:t xml:space="preserve">: </w:t>
            </w:r>
            <w:r w:rsidR="00960971">
              <w:rPr>
                <w:rFonts w:ascii="Calibri" w:eastAsia="Calibri" w:hAnsi="Calibri" w:cs="Calibri"/>
              </w:rPr>
              <w:t xml:space="preserve">MRC </w:t>
            </w:r>
            <w:r w:rsidR="0063323D" w:rsidRPr="001F61AC">
              <w:rPr>
                <w:rFonts w:cstheme="minorHAnsi"/>
                <w:color w:val="000000" w:themeColor="text1"/>
              </w:rPr>
              <w:t>Weatherall Institute of Molecular Medicine</w:t>
            </w:r>
          </w:p>
          <w:p w14:paraId="51B94C60" w14:textId="14F641A2" w:rsidR="7FB932B3" w:rsidRDefault="4C15D40A" w:rsidP="7FD3CFA3">
            <w:pPr>
              <w:rPr>
                <w:rFonts w:ascii="Calibri" w:eastAsia="Calibri" w:hAnsi="Calibri" w:cs="Calibri"/>
              </w:rPr>
            </w:pPr>
            <w:r w:rsidRPr="7FD3CFA3">
              <w:rPr>
                <w:rFonts w:ascii="Calibri" w:eastAsia="Calibri" w:hAnsi="Calibri" w:cs="Calibri"/>
                <w:b/>
                <w:bCs/>
              </w:rPr>
              <w:t>Department</w:t>
            </w:r>
            <w:r w:rsidRPr="7FD3CFA3">
              <w:rPr>
                <w:rFonts w:ascii="Calibri" w:eastAsia="Calibri" w:hAnsi="Calibri" w:cs="Calibri"/>
              </w:rPr>
              <w:t xml:space="preserve">: </w:t>
            </w:r>
            <w:r w:rsidR="0063323D">
              <w:rPr>
                <w:rFonts w:ascii="Calibri" w:eastAsia="Calibri" w:hAnsi="Calibri" w:cs="Calibri"/>
              </w:rPr>
              <w:t>Radcliffe</w:t>
            </w:r>
            <w:r w:rsidRPr="7FD3CFA3">
              <w:rPr>
                <w:rFonts w:ascii="Calibri" w:eastAsia="Calibri" w:hAnsi="Calibri" w:cs="Calibri"/>
              </w:rPr>
              <w:t xml:space="preserve"> Department of Medicine</w:t>
            </w:r>
            <w:r w:rsidR="4BE68199" w:rsidRPr="7FD3CFA3">
              <w:rPr>
                <w:rFonts w:ascii="Calibri" w:eastAsia="Calibri" w:hAnsi="Calibri" w:cs="Calibri"/>
              </w:rPr>
              <w:t xml:space="preserve"> </w:t>
            </w:r>
          </w:p>
          <w:p w14:paraId="3C80489F" w14:textId="0A63557D" w:rsidR="7FB932B3" w:rsidRDefault="7FB932B3" w:rsidP="7FB932B3">
            <w:pPr>
              <w:rPr>
                <w:rFonts w:ascii="Calibri" w:eastAsia="Calibri" w:hAnsi="Calibri" w:cs="Calibri"/>
              </w:rPr>
            </w:pPr>
            <w:r w:rsidRPr="7FB932B3">
              <w:rPr>
                <w:rFonts w:ascii="Calibri" w:eastAsia="Calibri" w:hAnsi="Calibri" w:cs="Calibri"/>
                <w:b/>
                <w:bCs/>
              </w:rPr>
              <w:t>Group</w:t>
            </w:r>
            <w:r w:rsidRPr="7FB932B3">
              <w:rPr>
                <w:rFonts w:ascii="Calibri" w:eastAsia="Calibri" w:hAnsi="Calibri" w:cs="Calibri"/>
              </w:rPr>
              <w:t xml:space="preserve">: </w:t>
            </w:r>
            <w:r w:rsidR="008B6D74" w:rsidRPr="001F61AC">
              <w:rPr>
                <w:rFonts w:eastAsia="Times New Roman" w:cstheme="minorHAnsi"/>
                <w:color w:val="000000" w:themeColor="text1"/>
                <w:shd w:val="clear" w:color="auto" w:fill="FFFFFF"/>
              </w:rPr>
              <w:t>Hughes Group: Genome Biology</w:t>
            </w:r>
          </w:p>
          <w:p w14:paraId="4F22593C" w14:textId="71517737" w:rsidR="7FB932B3" w:rsidRPr="00044271" w:rsidRDefault="7FB932B3" w:rsidP="00044271">
            <w:pPr>
              <w:pStyle w:val="NoSpacing"/>
              <w:rPr>
                <w:rFonts w:cstheme="minorHAnsi"/>
              </w:rPr>
            </w:pPr>
            <w:r w:rsidRPr="7FB932B3">
              <w:rPr>
                <w:rFonts w:ascii="Calibri" w:eastAsia="Calibri" w:hAnsi="Calibri" w:cs="Calibri"/>
                <w:b/>
                <w:bCs/>
              </w:rPr>
              <w:t>Webpage</w:t>
            </w:r>
            <w:r w:rsidRPr="7FB932B3">
              <w:rPr>
                <w:rFonts w:ascii="Calibri" w:eastAsia="Calibri" w:hAnsi="Calibri" w:cs="Calibri"/>
              </w:rPr>
              <w:t xml:space="preserve">: </w:t>
            </w:r>
            <w:hyperlink r:id="rId11" w:history="1">
              <w:r w:rsidR="00044271" w:rsidRPr="00C47906">
                <w:rPr>
                  <w:rStyle w:val="Hyperlink"/>
                  <w:rFonts w:cstheme="minorHAnsi"/>
                </w:rPr>
                <w:t>https://www.imm.ox.ac.uk/people/jim-hughes</w:t>
              </w:r>
            </w:hyperlink>
          </w:p>
          <w:p w14:paraId="17AE8EB9" w14:textId="3D5B8C10" w:rsidR="00A33B99" w:rsidRDefault="7FB932B3" w:rsidP="7FB932B3">
            <w:pPr>
              <w:spacing w:line="259" w:lineRule="auto"/>
              <w:rPr>
                <w:rFonts w:ascii="Calibri" w:eastAsia="Calibri" w:hAnsi="Calibri" w:cs="Calibri"/>
              </w:rPr>
            </w:pPr>
            <w:r w:rsidRPr="7FB932B3">
              <w:rPr>
                <w:rFonts w:ascii="Calibri" w:eastAsia="Calibri" w:hAnsi="Calibri" w:cs="Calibri"/>
                <w:b/>
                <w:bCs/>
              </w:rPr>
              <w:t>Email</w:t>
            </w:r>
            <w:r w:rsidRPr="7FB932B3">
              <w:rPr>
                <w:rFonts w:ascii="Calibri" w:eastAsia="Calibri" w:hAnsi="Calibri" w:cs="Calibri"/>
              </w:rPr>
              <w:t xml:space="preserve">: </w:t>
            </w:r>
            <w:r w:rsidR="00DF6107" w:rsidRPr="001F61AC">
              <w:rPr>
                <w:rFonts w:cstheme="minorHAnsi"/>
                <w:shd w:val="clear" w:color="auto" w:fill="FFFFFF"/>
              </w:rPr>
              <w:t>jim.hughes@imm.ox.ac.uk</w:t>
            </w:r>
          </w:p>
          <w:p w14:paraId="37A7AF9B" w14:textId="7D37AEAB" w:rsidR="00904427" w:rsidRDefault="00904427" w:rsidP="7FB932B3">
            <w:pPr>
              <w:spacing w:line="259" w:lineRule="auto"/>
              <w:rPr>
                <w:rFonts w:ascii="Calibri" w:eastAsia="Calibri" w:hAnsi="Calibri" w:cs="Calibri"/>
              </w:rPr>
            </w:pP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17D75D69" w14:textId="6C5DB8C3" w:rsidR="6A7A4237" w:rsidRDefault="6A7A4237" w:rsidP="7FD3CFA3">
      <w:pPr>
        <w:pStyle w:val="ListParagraph"/>
        <w:numPr>
          <w:ilvl w:val="0"/>
          <w:numId w:val="4"/>
        </w:numPr>
      </w:pPr>
      <w:r>
        <w:t>Genomic and –</w:t>
      </w:r>
      <w:proofErr w:type="spellStart"/>
      <w:r>
        <w:t>omic</w:t>
      </w:r>
      <w:proofErr w:type="spellEnd"/>
      <w:r>
        <w:t xml:space="preserve"> technologies</w:t>
      </w:r>
    </w:p>
    <w:p w14:paraId="25DBA524" w14:textId="13E74CCE" w:rsidR="6A7A4237" w:rsidRDefault="6A7A4237" w:rsidP="7FD3CFA3">
      <w:pPr>
        <w:pStyle w:val="ListParagraph"/>
        <w:numPr>
          <w:ilvl w:val="0"/>
          <w:numId w:val="4"/>
        </w:numPr>
      </w:pPr>
      <w:r>
        <w:t>Functional genomics</w:t>
      </w:r>
    </w:p>
    <w:p w14:paraId="23C67124" w14:textId="405A5467" w:rsidR="6A7A4237" w:rsidRDefault="6A7A4237" w:rsidP="7FD3CFA3">
      <w:pPr>
        <w:pStyle w:val="ListParagraph"/>
        <w:numPr>
          <w:ilvl w:val="0"/>
          <w:numId w:val="4"/>
        </w:numPr>
      </w:pPr>
      <w:r>
        <w:t>Genome biology (genomes and genetic variation)</w:t>
      </w:r>
    </w:p>
    <w:p w14:paraId="2860E620" w14:textId="77777777" w:rsidR="6A7A4237" w:rsidRDefault="6A7A4237" w:rsidP="7FD3CFA3">
      <w:pPr>
        <w:pStyle w:val="ListParagraph"/>
        <w:numPr>
          <w:ilvl w:val="0"/>
          <w:numId w:val="4"/>
        </w:numPr>
      </w:pPr>
      <w:r>
        <w:t>Genomics of disease</w:t>
      </w:r>
    </w:p>
    <w:p w14:paraId="72FA5FC1" w14:textId="77777777" w:rsidR="6A7A4237" w:rsidRDefault="6A7A4237" w:rsidP="7FD3CFA3">
      <w:pPr>
        <w:pStyle w:val="ListParagraph"/>
        <w:numPr>
          <w:ilvl w:val="0"/>
          <w:numId w:val="4"/>
        </w:numPr>
      </w:pPr>
      <w:r>
        <w:t>Genomic analysis (bioinformatics and statistical genetics)</w:t>
      </w:r>
    </w:p>
    <w:p w14:paraId="596B81AD" w14:textId="19A71332" w:rsidR="1E925C02" w:rsidRDefault="1E925C02" w:rsidP="7FB932B3">
      <w:pPr>
        <w:pStyle w:val="Heading3"/>
        <w:rPr>
          <w:rFonts w:ascii="Calibri Light" w:hAnsi="Calibri Light"/>
          <w:color w:val="1F3763"/>
        </w:rPr>
      </w:pPr>
      <w:r w:rsidRPr="7FB932B3">
        <w:t>Research Overview</w:t>
      </w:r>
    </w:p>
    <w:p w14:paraId="08F37F95" w14:textId="77777777" w:rsidR="005006F4" w:rsidRPr="001F61AC" w:rsidRDefault="005006F4" w:rsidP="005006F4">
      <w:pPr>
        <w:rPr>
          <w:rFonts w:cstheme="minorHAnsi"/>
        </w:rPr>
      </w:pPr>
      <w:r w:rsidRPr="001F61AC">
        <w:rPr>
          <w:rFonts w:cstheme="minorHAnsi"/>
        </w:rPr>
        <w:t xml:space="preserve">The Hughes group is interested in how mammalian genes are regulated and how their deregulation is linked with human disease. The ~22 thousand genes in the mammalian genome are present in the DNA of every cell but are used in complex patterns in different cell types and organs.  This system to turn genes off or on, modulating their levels of activity in different cell types is central to maintaining the complex biological system that is a multicellular organism. </w:t>
      </w:r>
    </w:p>
    <w:p w14:paraId="007229B6" w14:textId="77777777" w:rsidR="005006F4" w:rsidRPr="001F61AC" w:rsidRDefault="005006F4" w:rsidP="005006F4">
      <w:pPr>
        <w:rPr>
          <w:rFonts w:cstheme="minorHAnsi"/>
        </w:rPr>
      </w:pPr>
      <w:r w:rsidRPr="001F61AC">
        <w:rPr>
          <w:rFonts w:cstheme="minorHAnsi"/>
        </w:rPr>
        <w:t xml:space="preserve">What has become clear from large-scale genetic studies of human predisposition to common disease is that it is the control of the use of genes, rather than the genes themselves, that is frequently damaged.  It is now known that functional elements other that genes exist in our DNA and these elements act as molecular switches which interact with the genes and control their use, however the mechanisms involved are not well understood.  The Hughes group integrates both bench technologies and computational approaches to try and understand how these regulatory switches or enhancer elements work and how variations in their activity in our genomes leads to increased risk of developing common diseases, such as </w:t>
      </w:r>
      <w:proofErr w:type="spellStart"/>
      <w:r w:rsidRPr="001F61AC">
        <w:rPr>
          <w:rFonts w:cstheme="minorHAnsi"/>
        </w:rPr>
        <w:t>anemia</w:t>
      </w:r>
      <w:proofErr w:type="spellEnd"/>
      <w:r w:rsidRPr="001F61AC">
        <w:rPr>
          <w:rFonts w:cstheme="minorHAnsi"/>
        </w:rPr>
        <w:t>, cancer, diabetes and autoimmune diseases.</w:t>
      </w:r>
    </w:p>
    <w:p w14:paraId="36B6CF89" w14:textId="77777777" w:rsidR="005006F4" w:rsidRPr="001F61AC" w:rsidRDefault="005006F4" w:rsidP="005006F4">
      <w:pPr>
        <w:rPr>
          <w:rFonts w:cstheme="minorHAnsi"/>
        </w:rPr>
      </w:pPr>
      <w:r w:rsidRPr="001F61AC">
        <w:rPr>
          <w:rFonts w:cstheme="minorHAnsi"/>
        </w:rPr>
        <w:t xml:space="preserve">The group has a track history in the development of novel genomics technologies as well as computational approaches.  The group has a molecular biology arm that is expert in </w:t>
      </w:r>
      <w:proofErr w:type="gramStart"/>
      <w:r w:rsidRPr="001F61AC">
        <w:rPr>
          <w:rFonts w:cstheme="minorHAnsi"/>
        </w:rPr>
        <w:t>next-generation</w:t>
      </w:r>
      <w:proofErr w:type="gramEnd"/>
      <w:r w:rsidRPr="001F61AC">
        <w:rPr>
          <w:rFonts w:cstheme="minorHAnsi"/>
        </w:rPr>
        <w:t xml:space="preserve"> sequencing based genomics and a purely computational arm which forms part of the WIMM CCB computational unit, with many lab members working in both areas.   Due to this structure, the group is highly multi-disciplinary, including people from diverse backgrounds and skill sets, from nucleic acid chemistry, biochemistry and molecular biology to bioinformatics, deep neural networks and JavaScript programmers and is always keen to incorporate new approaches from different fields to help answer its central questions.</w:t>
      </w:r>
    </w:p>
    <w:p w14:paraId="516E7A02" w14:textId="537C7535" w:rsidR="6528CCDC" w:rsidRDefault="6528CCDC" w:rsidP="7FB932B3">
      <w:r w:rsidRPr="7FB932B3">
        <w:rPr>
          <w:rStyle w:val="Heading3Char"/>
        </w:rPr>
        <w:t>Project areas</w:t>
      </w:r>
      <w:r w:rsidR="5A9BDCA9" w:rsidRPr="7FB932B3">
        <w:rPr>
          <w:rStyle w:val="Heading3Char"/>
        </w:rPr>
        <w:t>:</w:t>
      </w:r>
      <w:r w:rsidR="63FD05EE" w:rsidRPr="7FB932B3">
        <w:t xml:space="preserve"> </w:t>
      </w:r>
    </w:p>
    <w:p w14:paraId="5B901D60" w14:textId="31E4B639" w:rsidR="00A843E9" w:rsidRDefault="00A843E9" w:rsidP="7FB932B3">
      <w:r>
        <w:t>Genomics and Machine Learning</w:t>
      </w:r>
      <w:r w:rsidR="007232EF">
        <w:t>.</w:t>
      </w:r>
    </w:p>
    <w:p w14:paraId="4CE47820" w14:textId="417EA09E" w:rsidR="00A843E9" w:rsidRDefault="00384EAC" w:rsidP="7FB932B3">
      <w:r>
        <w:lastRenderedPageBreak/>
        <w:t>Synthetic biology and gene regulation</w:t>
      </w:r>
      <w:r w:rsidR="007232EF">
        <w:t>.</w:t>
      </w:r>
    </w:p>
    <w:p w14:paraId="071D8C36" w14:textId="1D8E41C2" w:rsidR="00384EAC" w:rsidRDefault="00384EAC" w:rsidP="7FB932B3">
      <w:r>
        <w:t>Sequence variation and disease</w:t>
      </w:r>
      <w:r w:rsidR="004F6F1E">
        <w:t>.</w:t>
      </w:r>
    </w:p>
    <w:p w14:paraId="6A0FD0DB" w14:textId="2F03D7E8" w:rsidR="004F6F1E" w:rsidRDefault="00696E14" w:rsidP="7FB932B3">
      <w:r>
        <w:t>Single</w:t>
      </w:r>
      <w:r w:rsidR="004F6F1E">
        <w:t xml:space="preserve"> cell multi</w:t>
      </w:r>
      <w:r>
        <w:t>-omics</w:t>
      </w:r>
      <w:r w:rsidR="00FF130E">
        <w:t xml:space="preserve"> and </w:t>
      </w:r>
      <w:r w:rsidR="00B11F82">
        <w:t>sequence variation</w:t>
      </w:r>
      <w:r w:rsidR="007232EF">
        <w:t>.</w:t>
      </w:r>
    </w:p>
    <w:p w14:paraId="6FC92978" w14:textId="77777777" w:rsidR="00A843E9" w:rsidRDefault="00A843E9" w:rsidP="7FB932B3"/>
    <w:p w14:paraId="0371EE82" w14:textId="77777777" w:rsidR="00211B1F" w:rsidRDefault="00211B1F">
      <w:pPr>
        <w:rPr>
          <w:rFonts w:asciiTheme="majorHAnsi" w:eastAsiaTheme="majorEastAsia" w:hAnsiTheme="majorHAnsi" w:cstheme="majorBidi"/>
          <w:b/>
          <w:color w:val="000000" w:themeColor="text1"/>
          <w:sz w:val="24"/>
          <w:szCs w:val="24"/>
        </w:rPr>
      </w:pPr>
      <w:r>
        <w:br w:type="page"/>
      </w:r>
    </w:p>
    <w:p w14:paraId="6545E0F8" w14:textId="4AF71F8F" w:rsidR="1E925C02" w:rsidRDefault="002760AC" w:rsidP="7FB932B3">
      <w:pPr>
        <w:pStyle w:val="Heading3"/>
      </w:pPr>
      <w:r>
        <w:lastRenderedPageBreak/>
        <w:t>P</w:t>
      </w:r>
      <w:r w:rsidR="1E925C02" w:rsidRPr="7FB932B3">
        <w:t>roject proposal</w:t>
      </w:r>
    </w:p>
    <w:p w14:paraId="058288FE" w14:textId="41706C65" w:rsidR="00473509" w:rsidRPr="00473509" w:rsidRDefault="00473509" w:rsidP="00473509">
      <w:r>
        <w:t xml:space="preserve">Supervisors: </w:t>
      </w:r>
      <w:r w:rsidR="00C069F5">
        <w:t xml:space="preserve">Professor </w:t>
      </w:r>
      <w:r>
        <w:t>Jim Hughes</w:t>
      </w:r>
    </w:p>
    <w:p w14:paraId="35FC5645" w14:textId="5162C78D" w:rsidR="004C7875" w:rsidRDefault="004C7875" w:rsidP="004C7875">
      <w:r w:rsidRPr="004C7875">
        <w:rPr>
          <w:b/>
          <w:bCs/>
        </w:rPr>
        <w:t>Title</w:t>
      </w:r>
      <w:r>
        <w:t>: Various computational and bench projects</w:t>
      </w:r>
    </w:p>
    <w:p w14:paraId="7732F4F9" w14:textId="23D56640" w:rsidR="004C7875" w:rsidRPr="004C7875" w:rsidRDefault="00C17305" w:rsidP="004C7875">
      <w:r w:rsidRPr="74EBE08A">
        <w:rPr>
          <w:rStyle w:val="Heading3Char"/>
        </w:rPr>
        <w:t>Wet/dry lab mix</w:t>
      </w:r>
      <w:r w:rsidR="004C7875">
        <w:t>: varies</w:t>
      </w:r>
    </w:p>
    <w:p w14:paraId="2C129FBE" w14:textId="0F2A39F3" w:rsidR="00EF44AC" w:rsidRDefault="004C7875" w:rsidP="00EF44AC">
      <w:pPr>
        <w:pStyle w:val="NoSpacing"/>
      </w:pPr>
      <w:r w:rsidRPr="004C7875">
        <w:rPr>
          <w:b/>
          <w:bCs/>
        </w:rPr>
        <w:t>Description</w:t>
      </w:r>
      <w:r>
        <w:t>:</w:t>
      </w:r>
    </w:p>
    <w:p w14:paraId="64092B13" w14:textId="77777777" w:rsidR="004C7875" w:rsidRDefault="004C7875" w:rsidP="00EF44AC">
      <w:pPr>
        <w:pStyle w:val="NoSpacing"/>
      </w:pPr>
    </w:p>
    <w:p w14:paraId="7F8AA7E5" w14:textId="61FDE363" w:rsidR="000A5709" w:rsidRDefault="000A5709" w:rsidP="00EF44AC">
      <w:pPr>
        <w:pStyle w:val="NoSpacing"/>
      </w:pPr>
      <w:r>
        <w:t xml:space="preserve">The group has </w:t>
      </w:r>
      <w:r w:rsidR="003D3037">
        <w:t xml:space="preserve">opportunities for </w:t>
      </w:r>
      <w:r w:rsidR="00012A10">
        <w:t>purely</w:t>
      </w:r>
      <w:r w:rsidR="003D3037">
        <w:t xml:space="preserve"> </w:t>
      </w:r>
      <w:r w:rsidR="006007FC">
        <w:t>computational project</w:t>
      </w:r>
      <w:r w:rsidR="008811FA">
        <w:t>s</w:t>
      </w:r>
      <w:r w:rsidR="006007FC">
        <w:t xml:space="preserve"> and</w:t>
      </w:r>
      <w:r w:rsidR="00012A10">
        <w:t xml:space="preserve"> bench projects</w:t>
      </w:r>
      <w:r w:rsidR="006B6535">
        <w:t xml:space="preserve"> although bench scientists are </w:t>
      </w:r>
      <w:r w:rsidR="00EC756C">
        <w:t xml:space="preserve">strongly </w:t>
      </w:r>
      <w:r w:rsidR="006B6535">
        <w:t>encouraged and trained to do their own bioinformatic analysis and dev</w:t>
      </w:r>
      <w:r w:rsidR="00F958B2">
        <w:t>e</w:t>
      </w:r>
      <w:r w:rsidR="006B6535">
        <w:t xml:space="preserve">lop their own coding skills. </w:t>
      </w:r>
      <w:r w:rsidR="006007FC">
        <w:t xml:space="preserve"> </w:t>
      </w:r>
    </w:p>
    <w:p w14:paraId="774EFC93" w14:textId="77777777" w:rsidR="00F958B2" w:rsidRDefault="00F958B2" w:rsidP="00EF44AC">
      <w:pPr>
        <w:pStyle w:val="NoSpacing"/>
      </w:pPr>
    </w:p>
    <w:p w14:paraId="675911E6" w14:textId="0CC9CCB2" w:rsidR="00657CFE" w:rsidRDefault="00D55668" w:rsidP="00EF44AC">
      <w:pPr>
        <w:pStyle w:val="NoSpacing"/>
      </w:pPr>
      <w:r>
        <w:t>Computational projects</w:t>
      </w:r>
      <w:r w:rsidR="00E66F2D">
        <w:t xml:space="preserve"> combine</w:t>
      </w:r>
      <w:r w:rsidR="00A640BD">
        <w:t xml:space="preserve"> the integration of genomics data, including single cell epigenomic and transcript</w:t>
      </w:r>
      <w:r w:rsidR="00E74C69">
        <w:t>omic</w:t>
      </w:r>
      <w:r w:rsidR="00A640BD">
        <w:t xml:space="preserve"> data, with the development of machine learning based approaches to predict fundamental aspects of gene regulation </w:t>
      </w:r>
      <w:r w:rsidR="00233C8A">
        <w:t xml:space="preserve">in the mammalian </w:t>
      </w:r>
      <w:r w:rsidR="005471D3">
        <w:t>genome.  The ultimate goal</w:t>
      </w:r>
      <w:r w:rsidR="00E74C69">
        <w:t>s</w:t>
      </w:r>
      <w:r w:rsidR="005471D3">
        <w:t xml:space="preserve"> of these project</w:t>
      </w:r>
      <w:r w:rsidR="008539B5">
        <w:t>s</w:t>
      </w:r>
      <w:r w:rsidR="005471D3">
        <w:t xml:space="preserve"> are to </w:t>
      </w:r>
      <w:r w:rsidR="00113A45">
        <w:t xml:space="preserve">use the deep neural </w:t>
      </w:r>
      <w:proofErr w:type="gramStart"/>
      <w:r w:rsidR="00113A45">
        <w:t>network based</w:t>
      </w:r>
      <w:proofErr w:type="gramEnd"/>
      <w:r w:rsidR="00113A45">
        <w:t xml:space="preserve"> approaches</w:t>
      </w:r>
      <w:r w:rsidR="008A78E8">
        <w:t xml:space="preserve"> to understand </w:t>
      </w:r>
      <w:r w:rsidR="00470E64">
        <w:t xml:space="preserve">the basic </w:t>
      </w:r>
      <w:r w:rsidR="0045255D">
        <w:t>principles</w:t>
      </w:r>
      <w:r w:rsidR="00470E64">
        <w:t xml:space="preserve"> of how </w:t>
      </w:r>
      <w:r w:rsidR="0045255D">
        <w:t xml:space="preserve">cell type specific gene regulation is </w:t>
      </w:r>
      <w:r w:rsidR="00BA7D4E">
        <w:t>achieved</w:t>
      </w:r>
      <w:r w:rsidR="0045255D">
        <w:t xml:space="preserve"> and to provide predictive platforms </w:t>
      </w:r>
      <w:r w:rsidR="001E4775">
        <w:t>to</w:t>
      </w:r>
      <w:r w:rsidR="0045255D">
        <w:t xml:space="preserve"> identify casual changes in the non-coding </w:t>
      </w:r>
      <w:r w:rsidR="001E4775">
        <w:t xml:space="preserve">genome and to identify </w:t>
      </w:r>
      <w:r w:rsidR="00FA201F">
        <w:t>the underlying mechanism and genes</w:t>
      </w:r>
      <w:r w:rsidR="00657CFE">
        <w:t xml:space="preserve"> linked to human disease</w:t>
      </w:r>
      <w:r w:rsidR="00FA201F">
        <w:t>.</w:t>
      </w:r>
    </w:p>
    <w:p w14:paraId="1A9F0E65" w14:textId="77777777" w:rsidR="00657CFE" w:rsidRDefault="00657CFE" w:rsidP="00EF44AC">
      <w:pPr>
        <w:pStyle w:val="NoSpacing"/>
      </w:pPr>
    </w:p>
    <w:p w14:paraId="6FF447E3" w14:textId="77777777" w:rsidR="00F40FBA" w:rsidRDefault="0001000C" w:rsidP="00EF44AC">
      <w:pPr>
        <w:pStyle w:val="NoSpacing"/>
      </w:pPr>
      <w:r>
        <w:t xml:space="preserve">Relevant publications. </w:t>
      </w:r>
    </w:p>
    <w:p w14:paraId="2C99B56C" w14:textId="77777777" w:rsidR="00F40FBA" w:rsidRDefault="00F40FBA" w:rsidP="00EF44AC">
      <w:pPr>
        <w:pStyle w:val="NoSpacing"/>
      </w:pPr>
    </w:p>
    <w:p w14:paraId="27FAD575" w14:textId="270FF555" w:rsidR="00F958B2" w:rsidRDefault="00F40FBA" w:rsidP="00C27804">
      <w:pPr>
        <w:pStyle w:val="NoSpacing"/>
        <w:numPr>
          <w:ilvl w:val="0"/>
          <w:numId w:val="11"/>
        </w:numPr>
      </w:pPr>
      <w:r w:rsidRPr="001902BA">
        <w:rPr>
          <w:rFonts w:ascii="Arial" w:hAnsi="Arial" w:cs="Arial"/>
          <w:noProof/>
        </w:rPr>
        <w:t xml:space="preserve">Schwessinger, R., </w:t>
      </w:r>
      <w:r w:rsidR="00F11672">
        <w:rPr>
          <w:rFonts w:ascii="Arial" w:hAnsi="Arial" w:cs="Arial"/>
          <w:noProof/>
        </w:rPr>
        <w:t xml:space="preserve">et al </w:t>
      </w:r>
      <w:r w:rsidRPr="001902BA">
        <w:rPr>
          <w:rFonts w:ascii="Arial" w:hAnsi="Arial" w:cs="Arial"/>
          <w:noProof/>
        </w:rPr>
        <w:t xml:space="preserve"> (2017). Sasquatch: predicting the impact of regulatory SNPs on transcription factor binding from cell- and tissue-specific DNase footprints</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Genome Res</w:t>
      </w:r>
      <w:r w:rsidRPr="001902BA">
        <w:rPr>
          <w:rFonts w:ascii="Arial" w:hAnsi="Arial" w:cs="Arial"/>
          <w:noProof/>
        </w:rPr>
        <w:t xml:space="preserve">. </w:t>
      </w:r>
      <w:r w:rsidRPr="00C27804">
        <w:rPr>
          <w:rFonts w:ascii="Arial" w:hAnsi="Arial" w:cs="Arial"/>
          <w:bCs/>
          <w:noProof/>
        </w:rPr>
        <w:t>27</w:t>
      </w:r>
      <w:r w:rsidRPr="001902BA">
        <w:rPr>
          <w:rFonts w:ascii="Arial" w:hAnsi="Arial" w:cs="Arial"/>
          <w:noProof/>
        </w:rPr>
        <w:t>: 1730-1742.</w:t>
      </w:r>
      <w:r w:rsidR="00FA201F">
        <w:t xml:space="preserve"> </w:t>
      </w:r>
    </w:p>
    <w:p w14:paraId="1C8E7406" w14:textId="77777777" w:rsidR="000A5709" w:rsidRDefault="000A5709" w:rsidP="00EF44AC">
      <w:pPr>
        <w:pStyle w:val="NoSpacing"/>
      </w:pPr>
    </w:p>
    <w:p w14:paraId="1C378EEE" w14:textId="6DEB947E" w:rsidR="000A5709" w:rsidRDefault="00C93A89" w:rsidP="00C27804">
      <w:pPr>
        <w:pStyle w:val="NoSpacing"/>
        <w:numPr>
          <w:ilvl w:val="0"/>
          <w:numId w:val="11"/>
        </w:numPr>
        <w:rPr>
          <w:rFonts w:ascii="Arial" w:hAnsi="Arial" w:cs="Arial"/>
          <w:noProof/>
        </w:rPr>
      </w:pPr>
      <w:r w:rsidRPr="001902BA">
        <w:rPr>
          <w:rFonts w:ascii="Arial" w:hAnsi="Arial" w:cs="Arial"/>
          <w:noProof/>
        </w:rPr>
        <w:t xml:space="preserve">Schwessinger, R., </w:t>
      </w:r>
      <w:r w:rsidR="00F11672">
        <w:rPr>
          <w:rFonts w:ascii="Arial" w:hAnsi="Arial" w:cs="Arial"/>
          <w:noProof/>
        </w:rPr>
        <w:t>et al</w:t>
      </w:r>
      <w:r w:rsidRPr="00C27804">
        <w:rPr>
          <w:rFonts w:ascii="Arial" w:hAnsi="Arial" w:cs="Arial"/>
          <w:noProof/>
        </w:rPr>
        <w:t>.</w:t>
      </w:r>
      <w:r w:rsidRPr="001902BA">
        <w:rPr>
          <w:rFonts w:ascii="Arial" w:hAnsi="Arial" w:cs="Arial"/>
          <w:noProof/>
        </w:rPr>
        <w:t xml:space="preserve"> (2020). DeepC: predicting 3D genome folding using megabase-scale transfer learning</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Nat Methods</w:t>
      </w:r>
      <w:r w:rsidRPr="001902BA">
        <w:rPr>
          <w:rFonts w:ascii="Arial" w:hAnsi="Arial" w:cs="Arial"/>
          <w:noProof/>
        </w:rPr>
        <w:t xml:space="preserve">. </w:t>
      </w:r>
      <w:r w:rsidRPr="001902BA">
        <w:rPr>
          <w:rFonts w:ascii="Arial" w:hAnsi="Arial" w:cs="Arial"/>
          <w:b/>
          <w:noProof/>
        </w:rPr>
        <w:t>17</w:t>
      </w:r>
      <w:r w:rsidRPr="001902BA">
        <w:rPr>
          <w:rFonts w:ascii="Arial" w:hAnsi="Arial" w:cs="Arial"/>
          <w:noProof/>
        </w:rPr>
        <w:t>: 1118-1124.</w:t>
      </w:r>
    </w:p>
    <w:p w14:paraId="66BA565F" w14:textId="77777777" w:rsidR="0070412F" w:rsidRDefault="0070412F" w:rsidP="00EF44AC">
      <w:pPr>
        <w:pStyle w:val="NoSpacing"/>
        <w:rPr>
          <w:rFonts w:ascii="Arial" w:hAnsi="Arial" w:cs="Arial"/>
          <w:noProof/>
        </w:rPr>
      </w:pPr>
    </w:p>
    <w:p w14:paraId="61D1FAE2" w14:textId="0D421AB1" w:rsidR="0070412F" w:rsidRDefault="0070412F" w:rsidP="00C27804">
      <w:pPr>
        <w:pStyle w:val="NoSpacing"/>
        <w:numPr>
          <w:ilvl w:val="0"/>
          <w:numId w:val="11"/>
        </w:numPr>
        <w:rPr>
          <w:rFonts w:ascii="Arial" w:hAnsi="Arial" w:cs="Arial"/>
          <w:noProof/>
        </w:rPr>
      </w:pPr>
      <w:r w:rsidRPr="001902BA">
        <w:rPr>
          <w:rFonts w:ascii="Arial" w:hAnsi="Arial" w:cs="Arial"/>
          <w:noProof/>
        </w:rPr>
        <w:t xml:space="preserve">Downes, D.J., </w:t>
      </w:r>
      <w:r w:rsidR="00F11672">
        <w:rPr>
          <w:rFonts w:ascii="Arial" w:hAnsi="Arial" w:cs="Arial"/>
          <w:noProof/>
        </w:rPr>
        <w:t>et al</w:t>
      </w:r>
      <w:r w:rsidRPr="00C27804">
        <w:rPr>
          <w:rFonts w:ascii="Arial" w:hAnsi="Arial" w:cs="Arial"/>
          <w:noProof/>
        </w:rPr>
        <w:t xml:space="preserve"> (2019)</w:t>
      </w:r>
      <w:r w:rsidRPr="001902BA">
        <w:rPr>
          <w:rFonts w:ascii="Arial" w:hAnsi="Arial" w:cs="Arial"/>
          <w:b/>
          <w:bCs/>
          <w:noProof/>
        </w:rPr>
        <w:t>.</w:t>
      </w:r>
      <w:r w:rsidRPr="001902BA">
        <w:rPr>
          <w:rFonts w:ascii="Arial" w:hAnsi="Arial" w:cs="Arial"/>
          <w:noProof/>
        </w:rPr>
        <w:t xml:space="preserve"> An integrated platform to systematically identify causal variants and genes for polygenic human traits</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bioRxiv</w:t>
      </w:r>
      <w:r w:rsidRPr="001902BA">
        <w:rPr>
          <w:rFonts w:ascii="Arial" w:hAnsi="Arial" w:cs="Arial"/>
          <w:noProof/>
        </w:rPr>
        <w:t>: 813618.</w:t>
      </w:r>
    </w:p>
    <w:p w14:paraId="4A138ACF" w14:textId="77777777" w:rsidR="00EF5B94" w:rsidRDefault="00EF5B94" w:rsidP="00EF44AC">
      <w:pPr>
        <w:pStyle w:val="NoSpacing"/>
        <w:rPr>
          <w:rFonts w:ascii="Arial" w:hAnsi="Arial" w:cs="Arial"/>
          <w:noProof/>
        </w:rPr>
      </w:pPr>
    </w:p>
    <w:p w14:paraId="098E0B98" w14:textId="6035F473" w:rsidR="00EF5B94" w:rsidRDefault="00EF5B94" w:rsidP="00EF44AC">
      <w:pPr>
        <w:pStyle w:val="NoSpacing"/>
        <w:rPr>
          <w:rFonts w:ascii="Arial" w:hAnsi="Arial" w:cs="Arial"/>
          <w:noProof/>
        </w:rPr>
      </w:pPr>
      <w:r>
        <w:rPr>
          <w:rFonts w:ascii="Arial" w:hAnsi="Arial" w:cs="Arial"/>
          <w:noProof/>
        </w:rPr>
        <w:t xml:space="preserve">Bench </w:t>
      </w:r>
      <w:r w:rsidR="00F5376B">
        <w:rPr>
          <w:rFonts w:ascii="Arial" w:hAnsi="Arial" w:cs="Arial"/>
          <w:noProof/>
        </w:rPr>
        <w:t>project</w:t>
      </w:r>
      <w:r w:rsidR="00634765">
        <w:rPr>
          <w:rFonts w:ascii="Arial" w:hAnsi="Arial" w:cs="Arial"/>
          <w:noProof/>
        </w:rPr>
        <w:t xml:space="preserve">s </w:t>
      </w:r>
      <w:r w:rsidR="00B93CD9">
        <w:rPr>
          <w:rFonts w:ascii="Arial" w:hAnsi="Arial" w:cs="Arial"/>
          <w:noProof/>
        </w:rPr>
        <w:t>involve</w:t>
      </w:r>
      <w:r w:rsidR="005E2DCA">
        <w:rPr>
          <w:rFonts w:ascii="Arial" w:hAnsi="Arial" w:cs="Arial"/>
          <w:noProof/>
        </w:rPr>
        <w:t xml:space="preserve"> </w:t>
      </w:r>
      <w:r w:rsidR="009B69DB">
        <w:rPr>
          <w:rFonts w:ascii="Arial" w:hAnsi="Arial" w:cs="Arial"/>
          <w:noProof/>
        </w:rPr>
        <w:t>using the latest</w:t>
      </w:r>
      <w:r w:rsidR="005E2DCA">
        <w:rPr>
          <w:rFonts w:ascii="Arial" w:hAnsi="Arial" w:cs="Arial"/>
          <w:noProof/>
        </w:rPr>
        <w:t xml:space="preserve"> genomics tech</w:t>
      </w:r>
      <w:r w:rsidR="003336B3">
        <w:rPr>
          <w:rFonts w:ascii="Arial" w:hAnsi="Arial" w:cs="Arial"/>
          <w:noProof/>
        </w:rPr>
        <w:t>nologies</w:t>
      </w:r>
      <w:r w:rsidR="007F05DB">
        <w:rPr>
          <w:rFonts w:ascii="Arial" w:hAnsi="Arial" w:cs="Arial"/>
          <w:noProof/>
        </w:rPr>
        <w:t>, including those developed by the group to understand the basic regulat</w:t>
      </w:r>
      <w:r w:rsidR="00BE4049">
        <w:rPr>
          <w:rFonts w:ascii="Arial" w:hAnsi="Arial" w:cs="Arial"/>
          <w:noProof/>
        </w:rPr>
        <w:t xml:space="preserve">ion of genes and the impact </w:t>
      </w:r>
      <w:r w:rsidR="00C61A76">
        <w:rPr>
          <w:rFonts w:ascii="Arial" w:hAnsi="Arial" w:cs="Arial"/>
          <w:noProof/>
        </w:rPr>
        <w:t xml:space="preserve">of sequence variation </w:t>
      </w:r>
      <w:r w:rsidR="00AB78EB">
        <w:rPr>
          <w:rFonts w:ascii="Arial" w:hAnsi="Arial" w:cs="Arial"/>
          <w:noProof/>
        </w:rPr>
        <w:t>on it</w:t>
      </w:r>
      <w:r w:rsidR="00C61A76">
        <w:rPr>
          <w:rFonts w:ascii="Arial" w:hAnsi="Arial" w:cs="Arial"/>
          <w:noProof/>
        </w:rPr>
        <w:t xml:space="preserve">.  The group is expert in </w:t>
      </w:r>
      <w:r w:rsidR="00E41989">
        <w:rPr>
          <w:rFonts w:ascii="Arial" w:hAnsi="Arial" w:cs="Arial"/>
          <w:noProof/>
        </w:rPr>
        <w:t>chromosome conformation capture technologies</w:t>
      </w:r>
      <w:r w:rsidR="00A421BE">
        <w:rPr>
          <w:rFonts w:ascii="Arial" w:hAnsi="Arial" w:cs="Arial"/>
          <w:noProof/>
        </w:rPr>
        <w:t xml:space="preserve"> and have developed the suite of Capture-C technolgies</w:t>
      </w:r>
      <w:r w:rsidR="00D27E73">
        <w:rPr>
          <w:rFonts w:ascii="Arial" w:hAnsi="Arial" w:cs="Arial"/>
          <w:noProof/>
        </w:rPr>
        <w:t xml:space="preserve"> (Capture-C, Tiled-C and Tri-C)</w:t>
      </w:r>
      <w:r w:rsidR="00A421BE">
        <w:rPr>
          <w:rFonts w:ascii="Arial" w:hAnsi="Arial" w:cs="Arial"/>
          <w:noProof/>
        </w:rPr>
        <w:t xml:space="preserve"> </w:t>
      </w:r>
      <w:r w:rsidR="00FF745F">
        <w:rPr>
          <w:rFonts w:ascii="Arial" w:hAnsi="Arial" w:cs="Arial"/>
          <w:noProof/>
        </w:rPr>
        <w:t>used to</w:t>
      </w:r>
      <w:r w:rsidR="00A421BE">
        <w:rPr>
          <w:rFonts w:ascii="Arial" w:hAnsi="Arial" w:cs="Arial"/>
          <w:noProof/>
        </w:rPr>
        <w:t xml:space="preserve"> interogate the regulatory landcapes of genes. </w:t>
      </w:r>
      <w:r w:rsidR="00660406">
        <w:rPr>
          <w:rFonts w:ascii="Arial" w:hAnsi="Arial" w:cs="Arial"/>
          <w:noProof/>
        </w:rPr>
        <w:t>Project</w:t>
      </w:r>
      <w:r w:rsidR="00B708DE">
        <w:rPr>
          <w:rFonts w:ascii="Arial" w:hAnsi="Arial" w:cs="Arial"/>
          <w:noProof/>
        </w:rPr>
        <w:t>s</w:t>
      </w:r>
      <w:r w:rsidR="00660406">
        <w:rPr>
          <w:rFonts w:ascii="Arial" w:hAnsi="Arial" w:cs="Arial"/>
          <w:noProof/>
        </w:rPr>
        <w:t xml:space="preserve"> include using these</w:t>
      </w:r>
      <w:r w:rsidR="0023062E">
        <w:rPr>
          <w:rFonts w:ascii="Arial" w:hAnsi="Arial" w:cs="Arial"/>
          <w:noProof/>
        </w:rPr>
        <w:t xml:space="preserve"> and high-resolution variants such as Micr</w:t>
      </w:r>
      <w:r w:rsidR="00823EE9">
        <w:rPr>
          <w:rFonts w:ascii="Arial" w:hAnsi="Arial" w:cs="Arial"/>
          <w:noProof/>
        </w:rPr>
        <w:t>o Capture-C (with J Davies)</w:t>
      </w:r>
      <w:r w:rsidR="00660406">
        <w:rPr>
          <w:rFonts w:ascii="Arial" w:hAnsi="Arial" w:cs="Arial"/>
          <w:noProof/>
        </w:rPr>
        <w:t xml:space="preserve"> in primary cells to </w:t>
      </w:r>
      <w:r w:rsidR="002B15CE">
        <w:rPr>
          <w:rFonts w:ascii="Arial" w:hAnsi="Arial" w:cs="Arial"/>
          <w:noProof/>
        </w:rPr>
        <w:t>under</w:t>
      </w:r>
      <w:r w:rsidR="003B4410">
        <w:rPr>
          <w:rFonts w:ascii="Arial" w:hAnsi="Arial" w:cs="Arial"/>
          <w:noProof/>
        </w:rPr>
        <w:t>s</w:t>
      </w:r>
      <w:r w:rsidR="002B15CE">
        <w:rPr>
          <w:rFonts w:ascii="Arial" w:hAnsi="Arial" w:cs="Arial"/>
          <w:noProof/>
        </w:rPr>
        <w:t>tand the effect of human variation on specific genes</w:t>
      </w:r>
      <w:r w:rsidR="003A6FDA">
        <w:rPr>
          <w:rFonts w:ascii="Arial" w:hAnsi="Arial" w:cs="Arial"/>
          <w:noProof/>
        </w:rPr>
        <w:t xml:space="preserve"> and en masse to understand basic principles.  The group also leaverges </w:t>
      </w:r>
      <w:r w:rsidR="00D976F8">
        <w:rPr>
          <w:rFonts w:ascii="Arial" w:hAnsi="Arial" w:cs="Arial"/>
          <w:noProof/>
        </w:rPr>
        <w:t xml:space="preserve">large-scale synthetic biology </w:t>
      </w:r>
      <w:r w:rsidR="00FA4800">
        <w:rPr>
          <w:rFonts w:ascii="Arial" w:hAnsi="Arial" w:cs="Arial"/>
          <w:noProof/>
        </w:rPr>
        <w:t xml:space="preserve">to build regulatory domains </w:t>
      </w:r>
      <w:r w:rsidR="002415FE">
        <w:rPr>
          <w:rFonts w:ascii="Arial" w:hAnsi="Arial" w:cs="Arial"/>
          <w:noProof/>
        </w:rPr>
        <w:t>from first principles</w:t>
      </w:r>
      <w:r w:rsidR="00D826AE">
        <w:rPr>
          <w:rFonts w:ascii="Arial" w:hAnsi="Arial" w:cs="Arial"/>
          <w:noProof/>
        </w:rPr>
        <w:t xml:space="preserve"> (</w:t>
      </w:r>
      <w:hyperlink r:id="rId12" w:history="1">
        <w:r w:rsidR="00D737AA" w:rsidRPr="00EF53B4">
          <w:rPr>
            <w:rStyle w:val="Hyperlink"/>
            <w:rFonts w:ascii="Arial" w:hAnsi="Arial" w:cs="Arial"/>
            <w:noProof/>
          </w:rPr>
          <w:t>https://www.thedarkmatterproject.org/main</w:t>
        </w:r>
      </w:hyperlink>
      <w:r w:rsidR="00D826AE">
        <w:rPr>
          <w:rFonts w:ascii="Arial" w:hAnsi="Arial" w:cs="Arial"/>
          <w:noProof/>
        </w:rPr>
        <w:t>)</w:t>
      </w:r>
      <w:r w:rsidR="00D737AA">
        <w:rPr>
          <w:rFonts w:ascii="Arial" w:hAnsi="Arial" w:cs="Arial"/>
          <w:noProof/>
        </w:rPr>
        <w:t xml:space="preserve"> to </w:t>
      </w:r>
      <w:r w:rsidR="005F12C5">
        <w:rPr>
          <w:rFonts w:ascii="Arial" w:hAnsi="Arial" w:cs="Arial"/>
          <w:noProof/>
        </w:rPr>
        <w:t>discover the principles of how they are built and to provide a practical tool</w:t>
      </w:r>
      <w:r w:rsidR="00156E98">
        <w:rPr>
          <w:rFonts w:ascii="Arial" w:hAnsi="Arial" w:cs="Arial"/>
          <w:noProof/>
        </w:rPr>
        <w:t>kit</w:t>
      </w:r>
      <w:r w:rsidR="00F00EB8">
        <w:rPr>
          <w:rFonts w:ascii="Arial" w:hAnsi="Arial" w:cs="Arial"/>
          <w:noProof/>
        </w:rPr>
        <w:t xml:space="preserve"> to build </w:t>
      </w:r>
      <w:r w:rsidR="000E2831">
        <w:rPr>
          <w:rFonts w:ascii="Arial" w:hAnsi="Arial" w:cs="Arial"/>
          <w:noProof/>
        </w:rPr>
        <w:t xml:space="preserve">and exploit </w:t>
      </w:r>
      <w:r w:rsidR="00F00EB8">
        <w:rPr>
          <w:rFonts w:ascii="Arial" w:hAnsi="Arial" w:cs="Arial"/>
          <w:noProof/>
        </w:rPr>
        <w:t xml:space="preserve">functional </w:t>
      </w:r>
      <w:r w:rsidR="000E2831">
        <w:rPr>
          <w:rFonts w:ascii="Arial" w:hAnsi="Arial" w:cs="Arial"/>
          <w:noProof/>
        </w:rPr>
        <w:t>bespoke gene regulatory domains in the mammalian genome.  Project</w:t>
      </w:r>
      <w:r w:rsidR="00AB5324">
        <w:rPr>
          <w:rFonts w:ascii="Arial" w:hAnsi="Arial" w:cs="Arial"/>
          <w:noProof/>
        </w:rPr>
        <w:t>s</w:t>
      </w:r>
      <w:r w:rsidR="000E2831">
        <w:rPr>
          <w:rFonts w:ascii="Arial" w:hAnsi="Arial" w:cs="Arial"/>
          <w:noProof/>
        </w:rPr>
        <w:t xml:space="preserve"> also exist </w:t>
      </w:r>
      <w:r w:rsidR="0008440F">
        <w:rPr>
          <w:rFonts w:ascii="Arial" w:hAnsi="Arial" w:cs="Arial"/>
          <w:noProof/>
        </w:rPr>
        <w:t xml:space="preserve">to </w:t>
      </w:r>
      <w:r w:rsidR="00131410">
        <w:rPr>
          <w:rFonts w:ascii="Arial" w:hAnsi="Arial" w:cs="Arial"/>
          <w:noProof/>
        </w:rPr>
        <w:t xml:space="preserve">develop </w:t>
      </w:r>
      <w:r w:rsidR="00AD0436">
        <w:rPr>
          <w:rFonts w:ascii="Arial" w:hAnsi="Arial" w:cs="Arial"/>
          <w:noProof/>
        </w:rPr>
        <w:t xml:space="preserve">new methods to </w:t>
      </w:r>
      <w:r w:rsidR="001342F0">
        <w:rPr>
          <w:rFonts w:ascii="Arial" w:hAnsi="Arial" w:cs="Arial"/>
          <w:noProof/>
        </w:rPr>
        <w:t xml:space="preserve">fill in our current “blindspots” in our ability to </w:t>
      </w:r>
      <w:r w:rsidR="00F96A43">
        <w:rPr>
          <w:rFonts w:ascii="Arial" w:hAnsi="Arial" w:cs="Arial"/>
          <w:noProof/>
        </w:rPr>
        <w:t>assess activity and function in the genome.</w:t>
      </w:r>
      <w:r w:rsidR="001342F0">
        <w:rPr>
          <w:rFonts w:ascii="Arial" w:hAnsi="Arial" w:cs="Arial"/>
          <w:noProof/>
        </w:rPr>
        <w:t xml:space="preserve"> </w:t>
      </w:r>
    </w:p>
    <w:p w14:paraId="5EBFC7F5" w14:textId="77777777" w:rsidR="00D56859" w:rsidRDefault="00D56859" w:rsidP="00EF44AC">
      <w:pPr>
        <w:pStyle w:val="NoSpacing"/>
        <w:rPr>
          <w:rFonts w:ascii="Arial" w:hAnsi="Arial" w:cs="Arial"/>
          <w:noProof/>
        </w:rPr>
      </w:pPr>
    </w:p>
    <w:p w14:paraId="7FD5F41F" w14:textId="77777777" w:rsidR="00D56859" w:rsidRDefault="00D56859" w:rsidP="00D56859">
      <w:pPr>
        <w:pStyle w:val="NoSpacing"/>
      </w:pPr>
      <w:r>
        <w:t xml:space="preserve">Relevant publications. </w:t>
      </w:r>
    </w:p>
    <w:p w14:paraId="630F7624" w14:textId="77777777" w:rsidR="00177D9C" w:rsidRDefault="00177D9C" w:rsidP="00D56859">
      <w:pPr>
        <w:pStyle w:val="NoSpacing"/>
      </w:pPr>
    </w:p>
    <w:p w14:paraId="65AA2279" w14:textId="62D13654" w:rsidR="00177D9C" w:rsidRDefault="0072580F" w:rsidP="00C27804">
      <w:pPr>
        <w:pStyle w:val="NoSpacing"/>
        <w:numPr>
          <w:ilvl w:val="0"/>
          <w:numId w:val="12"/>
        </w:numPr>
      </w:pPr>
      <w:r w:rsidRPr="001902BA">
        <w:rPr>
          <w:rFonts w:ascii="Arial" w:hAnsi="Arial" w:cs="Arial"/>
          <w:noProof/>
        </w:rPr>
        <w:t xml:space="preserve">Larke, M.S.C., </w:t>
      </w:r>
      <w:r w:rsidR="00F11672">
        <w:rPr>
          <w:rFonts w:ascii="Arial" w:hAnsi="Arial" w:cs="Arial"/>
          <w:noProof/>
        </w:rPr>
        <w:t>et al</w:t>
      </w:r>
      <w:r w:rsidRPr="001902BA">
        <w:rPr>
          <w:rFonts w:ascii="Arial" w:hAnsi="Arial" w:cs="Arial"/>
          <w:b/>
          <w:bCs/>
          <w:noProof/>
        </w:rPr>
        <w:t>.</w:t>
      </w:r>
      <w:r w:rsidRPr="001902BA">
        <w:rPr>
          <w:rFonts w:ascii="Arial" w:hAnsi="Arial" w:cs="Arial"/>
          <w:noProof/>
        </w:rPr>
        <w:t xml:space="preserve"> (2021). Enhancers predominantly regulate gene expression during differentiation via transcription initiation</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Mol Cell</w:t>
      </w:r>
      <w:r w:rsidRPr="001902BA">
        <w:rPr>
          <w:rFonts w:ascii="Arial" w:hAnsi="Arial" w:cs="Arial"/>
          <w:noProof/>
        </w:rPr>
        <w:t xml:space="preserve">. </w:t>
      </w:r>
      <w:r w:rsidRPr="001902BA">
        <w:rPr>
          <w:rFonts w:ascii="Arial" w:hAnsi="Arial" w:cs="Arial"/>
          <w:b/>
          <w:noProof/>
        </w:rPr>
        <w:t>81</w:t>
      </w:r>
      <w:r w:rsidRPr="001902BA">
        <w:rPr>
          <w:rFonts w:ascii="Arial" w:hAnsi="Arial" w:cs="Arial"/>
          <w:noProof/>
        </w:rPr>
        <w:t>: 983-997 e7.</w:t>
      </w:r>
    </w:p>
    <w:p w14:paraId="4CA20CE8" w14:textId="77777777" w:rsidR="00D56859" w:rsidRDefault="00D56859" w:rsidP="00EF44AC">
      <w:pPr>
        <w:pStyle w:val="NoSpacing"/>
      </w:pPr>
    </w:p>
    <w:p w14:paraId="147D05BB" w14:textId="7AF920CA" w:rsidR="00D56859" w:rsidRDefault="00177D9C" w:rsidP="00C27804">
      <w:pPr>
        <w:pStyle w:val="NoSpacing"/>
        <w:numPr>
          <w:ilvl w:val="0"/>
          <w:numId w:val="12"/>
        </w:numPr>
        <w:rPr>
          <w:rFonts w:ascii="Arial" w:hAnsi="Arial" w:cs="Arial"/>
          <w:noProof/>
        </w:rPr>
      </w:pPr>
      <w:r w:rsidRPr="001902BA">
        <w:rPr>
          <w:rFonts w:ascii="Arial" w:hAnsi="Arial" w:cs="Arial"/>
          <w:noProof/>
        </w:rPr>
        <w:t xml:space="preserve">Oudelaar, A.M., </w:t>
      </w:r>
      <w:r w:rsidR="00F11672">
        <w:rPr>
          <w:rFonts w:ascii="Arial" w:hAnsi="Arial" w:cs="Arial"/>
          <w:noProof/>
        </w:rPr>
        <w:t>et al</w:t>
      </w:r>
      <w:r w:rsidRPr="001902BA">
        <w:rPr>
          <w:rFonts w:ascii="Arial" w:hAnsi="Arial" w:cs="Arial"/>
          <w:b/>
          <w:bCs/>
          <w:noProof/>
        </w:rPr>
        <w:t>.</w:t>
      </w:r>
      <w:r w:rsidRPr="001902BA">
        <w:rPr>
          <w:rFonts w:ascii="Arial" w:hAnsi="Arial" w:cs="Arial"/>
          <w:noProof/>
        </w:rPr>
        <w:t xml:space="preserve"> (2018). Single-allele chromatin interactions identify regulatory hubs in dynamic compartmentalized domains</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Nat Genet</w:t>
      </w:r>
      <w:r w:rsidRPr="001902BA">
        <w:rPr>
          <w:rFonts w:ascii="Arial" w:hAnsi="Arial" w:cs="Arial"/>
          <w:noProof/>
        </w:rPr>
        <w:t>.</w:t>
      </w:r>
    </w:p>
    <w:p w14:paraId="613E8D1F" w14:textId="77777777" w:rsidR="00C27804" w:rsidRDefault="00C27804" w:rsidP="00EF44AC">
      <w:pPr>
        <w:pStyle w:val="NoSpacing"/>
        <w:rPr>
          <w:rFonts w:ascii="Arial" w:hAnsi="Arial" w:cs="Arial"/>
          <w:noProof/>
        </w:rPr>
      </w:pPr>
    </w:p>
    <w:p w14:paraId="543E0B31" w14:textId="5B8C7F54" w:rsidR="008A444F" w:rsidRPr="008A444F" w:rsidRDefault="00C27804" w:rsidP="008A444F">
      <w:pPr>
        <w:pStyle w:val="NoSpacing"/>
        <w:numPr>
          <w:ilvl w:val="0"/>
          <w:numId w:val="12"/>
        </w:numPr>
      </w:pPr>
      <w:r w:rsidRPr="001902BA">
        <w:rPr>
          <w:rFonts w:ascii="Arial" w:hAnsi="Arial" w:cs="Arial"/>
          <w:noProof/>
        </w:rPr>
        <w:t xml:space="preserve">Oudelaar, A.M., </w:t>
      </w:r>
      <w:r w:rsidR="00F11672">
        <w:rPr>
          <w:rFonts w:ascii="Arial" w:hAnsi="Arial" w:cs="Arial"/>
          <w:noProof/>
        </w:rPr>
        <w:t xml:space="preserve">and </w:t>
      </w:r>
      <w:r w:rsidRPr="001902BA">
        <w:rPr>
          <w:rFonts w:ascii="Arial" w:hAnsi="Arial" w:cs="Arial"/>
          <w:noProof/>
        </w:rPr>
        <w:t xml:space="preserve">Beagrie, R.A., </w:t>
      </w:r>
      <w:r w:rsidR="00F11672">
        <w:rPr>
          <w:rFonts w:ascii="Arial" w:hAnsi="Arial" w:cs="Arial"/>
          <w:noProof/>
        </w:rPr>
        <w:t>et al</w:t>
      </w:r>
      <w:r w:rsidRPr="001902BA">
        <w:rPr>
          <w:rFonts w:ascii="Arial" w:hAnsi="Arial" w:cs="Arial"/>
          <w:noProof/>
        </w:rPr>
        <w:t xml:space="preserve"> (2020). Dynamics of the 4D genome during in vivo lineage specification and differentiation</w:t>
      </w:r>
      <w:r w:rsidRPr="001902BA">
        <w:rPr>
          <w:rFonts w:ascii="Arial" w:hAnsi="Arial" w:cs="Arial"/>
          <w:i/>
          <w:noProof/>
        </w:rPr>
        <w:t>.</w:t>
      </w:r>
      <w:r w:rsidRPr="001902BA">
        <w:rPr>
          <w:rFonts w:ascii="Arial" w:hAnsi="Arial" w:cs="Arial"/>
          <w:noProof/>
        </w:rPr>
        <w:t xml:space="preserve"> </w:t>
      </w:r>
      <w:r w:rsidRPr="001902BA">
        <w:rPr>
          <w:rFonts w:ascii="Arial" w:hAnsi="Arial" w:cs="Arial"/>
          <w:i/>
          <w:noProof/>
        </w:rPr>
        <w:t>Nat Commun</w:t>
      </w:r>
      <w:r w:rsidRPr="001902BA">
        <w:rPr>
          <w:rFonts w:ascii="Arial" w:hAnsi="Arial" w:cs="Arial"/>
          <w:noProof/>
        </w:rPr>
        <w:t xml:space="preserve">. </w:t>
      </w:r>
      <w:r w:rsidRPr="001902BA">
        <w:rPr>
          <w:rFonts w:ascii="Arial" w:hAnsi="Arial" w:cs="Arial"/>
          <w:b/>
          <w:noProof/>
        </w:rPr>
        <w:t>11</w:t>
      </w:r>
      <w:r w:rsidRPr="001902BA">
        <w:rPr>
          <w:rFonts w:ascii="Arial" w:hAnsi="Arial" w:cs="Arial"/>
          <w:noProof/>
        </w:rPr>
        <w:t>: 2722</w:t>
      </w:r>
    </w:p>
    <w:p w14:paraId="6B40313D" w14:textId="77777777" w:rsidR="008A444F" w:rsidRDefault="008A444F" w:rsidP="008A444F">
      <w:pPr>
        <w:pStyle w:val="ListParagraph"/>
        <w:rPr>
          <w:rFonts w:ascii="Arial" w:hAnsi="Arial" w:cs="Arial"/>
          <w:noProof/>
        </w:rPr>
      </w:pPr>
    </w:p>
    <w:p w14:paraId="0B270BCF" w14:textId="31025A36" w:rsidR="008A444F" w:rsidRPr="008A444F" w:rsidRDefault="008A444F" w:rsidP="008A444F">
      <w:pPr>
        <w:pStyle w:val="NoSpacing"/>
        <w:numPr>
          <w:ilvl w:val="0"/>
          <w:numId w:val="12"/>
        </w:numPr>
      </w:pPr>
      <w:r w:rsidRPr="008A444F">
        <w:rPr>
          <w:rFonts w:ascii="Arial" w:hAnsi="Arial" w:cs="Arial"/>
          <w:noProof/>
        </w:rPr>
        <w:t xml:space="preserve">Hua, P., </w:t>
      </w:r>
      <w:r w:rsidR="00F11672">
        <w:rPr>
          <w:rFonts w:ascii="Arial" w:hAnsi="Arial" w:cs="Arial"/>
          <w:noProof/>
        </w:rPr>
        <w:t>et al</w:t>
      </w:r>
      <w:r w:rsidRPr="008A444F">
        <w:rPr>
          <w:rFonts w:ascii="Arial" w:hAnsi="Arial" w:cs="Arial"/>
          <w:noProof/>
        </w:rPr>
        <w:t xml:space="preserve"> (2021). Defining genome architecture at base-pair resolution</w:t>
      </w:r>
      <w:r w:rsidRPr="008A444F">
        <w:rPr>
          <w:rFonts w:ascii="Arial" w:hAnsi="Arial" w:cs="Arial"/>
          <w:i/>
          <w:noProof/>
        </w:rPr>
        <w:t>.</w:t>
      </w:r>
      <w:r w:rsidRPr="008A444F">
        <w:rPr>
          <w:rFonts w:ascii="Arial" w:hAnsi="Arial" w:cs="Arial"/>
          <w:noProof/>
        </w:rPr>
        <w:t xml:space="preserve"> </w:t>
      </w:r>
      <w:r w:rsidRPr="008A444F">
        <w:rPr>
          <w:rFonts w:ascii="Arial" w:hAnsi="Arial" w:cs="Arial"/>
          <w:i/>
          <w:noProof/>
        </w:rPr>
        <w:t>Nature</w:t>
      </w:r>
      <w:r w:rsidRPr="008A444F">
        <w:rPr>
          <w:rFonts w:ascii="Arial" w:hAnsi="Arial" w:cs="Arial"/>
          <w:noProof/>
        </w:rPr>
        <w:t xml:space="preserve">. </w:t>
      </w:r>
      <w:r w:rsidRPr="008A444F">
        <w:rPr>
          <w:rFonts w:ascii="Arial" w:hAnsi="Arial" w:cs="Arial"/>
          <w:b/>
          <w:noProof/>
        </w:rPr>
        <w:t>595</w:t>
      </w:r>
      <w:r w:rsidRPr="008A444F">
        <w:rPr>
          <w:rFonts w:ascii="Arial" w:hAnsi="Arial" w:cs="Arial"/>
          <w:noProof/>
        </w:rPr>
        <w:t>: 125-129.</w:t>
      </w:r>
    </w:p>
    <w:p w14:paraId="121DEF04" w14:textId="77777777" w:rsidR="008A444F" w:rsidRDefault="008A444F" w:rsidP="008A444F">
      <w:pPr>
        <w:pStyle w:val="NoSpacing"/>
        <w:ind w:left="720"/>
      </w:pPr>
    </w:p>
    <w:p w14:paraId="4BCAB8E5" w14:textId="77777777" w:rsidR="000A5709" w:rsidRDefault="000A5709"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1F2C3E37"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8A444F">
        <w:rPr>
          <w:b/>
          <w:bCs/>
          <w:i/>
          <w:iCs/>
        </w:rPr>
        <w:t>23</w:t>
      </w:r>
      <w:r w:rsidR="0048798C">
        <w:rPr>
          <w:b/>
          <w:bCs/>
          <w:i/>
          <w:iCs/>
        </w:rPr>
        <w:t>-07-21</w:t>
      </w:r>
      <w:r w:rsidRPr="7FD3CFA3">
        <w:rPr>
          <w:b/>
          <w:bCs/>
          <w:i/>
          <w:iCs/>
        </w:rPr>
        <w:t>]</w:t>
      </w:r>
    </w:p>
    <w:p w14:paraId="22EBAD3B" w14:textId="68215CD0" w:rsidR="7FD3CFA3" w:rsidRPr="00C21C66" w:rsidRDefault="7FB932B3" w:rsidP="7FD3CFA3">
      <w:pPr>
        <w:rPr>
          <w:rStyle w:val="Heading3Char"/>
          <w:rFonts w:asciiTheme="minorHAnsi" w:eastAsiaTheme="minorHAnsi" w:hAnsiTheme="minorHAnsi" w:cstheme="minorBidi"/>
          <w:b w:val="0"/>
          <w:color w:val="auto"/>
          <w:sz w:val="22"/>
          <w:szCs w:val="22"/>
        </w:rPr>
      </w:pPr>
      <w:r>
        <w:br w:type="page"/>
      </w:r>
    </w:p>
    <w:p w14:paraId="3D4BE445" w14:textId="68E03239" w:rsidR="7FD3CFA3" w:rsidRDefault="7FD3CFA3">
      <w:r>
        <w:lastRenderedPageBreak/>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76A55" w14:textId="77777777" w:rsidR="00F21CEA" w:rsidRDefault="00F21CEA">
      <w:pPr>
        <w:spacing w:after="0" w:line="240" w:lineRule="auto"/>
      </w:pPr>
      <w:r>
        <w:separator/>
      </w:r>
    </w:p>
  </w:endnote>
  <w:endnote w:type="continuationSeparator" w:id="0">
    <w:p w14:paraId="6D077AE3" w14:textId="77777777" w:rsidR="00F21CEA" w:rsidRDefault="00F21CEA">
      <w:pPr>
        <w:spacing w:after="0" w:line="240" w:lineRule="auto"/>
      </w:pPr>
      <w:r>
        <w:continuationSeparator/>
      </w:r>
    </w:p>
  </w:endnote>
  <w:endnote w:type="continuationNotice" w:id="1">
    <w:p w14:paraId="1C19EBFE" w14:textId="77777777" w:rsidR="00F21CEA" w:rsidRDefault="00F21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ABC79" w14:textId="77777777" w:rsidR="00F21CEA" w:rsidRDefault="00F21CEA">
      <w:pPr>
        <w:spacing w:after="0" w:line="240" w:lineRule="auto"/>
      </w:pPr>
      <w:r>
        <w:separator/>
      </w:r>
    </w:p>
  </w:footnote>
  <w:footnote w:type="continuationSeparator" w:id="0">
    <w:p w14:paraId="1EBA609D" w14:textId="77777777" w:rsidR="00F21CEA" w:rsidRDefault="00F21CEA">
      <w:pPr>
        <w:spacing w:after="0" w:line="240" w:lineRule="auto"/>
      </w:pPr>
      <w:r>
        <w:continuationSeparator/>
      </w:r>
    </w:p>
  </w:footnote>
  <w:footnote w:type="continuationNotice" w:id="1">
    <w:p w14:paraId="34C6DAF9" w14:textId="77777777" w:rsidR="00F21CEA" w:rsidRDefault="00F21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85A5D98"/>
    <w:multiLevelType w:val="hybridMultilevel"/>
    <w:tmpl w:val="B15A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2228182E"/>
    <w:multiLevelType w:val="hybridMultilevel"/>
    <w:tmpl w:val="9DB0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7"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9"/>
  </w:num>
  <w:num w:numId="5">
    <w:abstractNumId w:val="7"/>
  </w:num>
  <w:num w:numId="6">
    <w:abstractNumId w:val="8"/>
  </w:num>
  <w:num w:numId="7">
    <w:abstractNumId w:val="10"/>
  </w:num>
  <w:num w:numId="8">
    <w:abstractNumId w:val="0"/>
  </w:num>
  <w:num w:numId="9">
    <w:abstractNumId w:val="6"/>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1000C"/>
    <w:rsid w:val="00012A10"/>
    <w:rsid w:val="00032E63"/>
    <w:rsid w:val="00044271"/>
    <w:rsid w:val="00065726"/>
    <w:rsid w:val="0008440F"/>
    <w:rsid w:val="00093090"/>
    <w:rsid w:val="000A4F90"/>
    <w:rsid w:val="000A5709"/>
    <w:rsid w:val="000B077C"/>
    <w:rsid w:val="000E2831"/>
    <w:rsid w:val="00113A45"/>
    <w:rsid w:val="0011698A"/>
    <w:rsid w:val="00131410"/>
    <w:rsid w:val="001342F0"/>
    <w:rsid w:val="00156E98"/>
    <w:rsid w:val="00177D9C"/>
    <w:rsid w:val="001843B7"/>
    <w:rsid w:val="001A1EFC"/>
    <w:rsid w:val="001A6B3E"/>
    <w:rsid w:val="001B03C6"/>
    <w:rsid w:val="001E4775"/>
    <w:rsid w:val="001F5E77"/>
    <w:rsid w:val="00202C4D"/>
    <w:rsid w:val="00211B1F"/>
    <w:rsid w:val="00222AC1"/>
    <w:rsid w:val="002302D4"/>
    <w:rsid w:val="0023062E"/>
    <w:rsid w:val="0023085C"/>
    <w:rsid w:val="00233C8A"/>
    <w:rsid w:val="002415FE"/>
    <w:rsid w:val="002649E5"/>
    <w:rsid w:val="00274294"/>
    <w:rsid w:val="002760AC"/>
    <w:rsid w:val="002B15CE"/>
    <w:rsid w:val="002F4544"/>
    <w:rsid w:val="00302806"/>
    <w:rsid w:val="00311642"/>
    <w:rsid w:val="00316B23"/>
    <w:rsid w:val="003336B3"/>
    <w:rsid w:val="00353570"/>
    <w:rsid w:val="003565FC"/>
    <w:rsid w:val="003764D2"/>
    <w:rsid w:val="00384EAC"/>
    <w:rsid w:val="003A40EA"/>
    <w:rsid w:val="003A41D2"/>
    <w:rsid w:val="003A527B"/>
    <w:rsid w:val="003A6FDA"/>
    <w:rsid w:val="003B0D2F"/>
    <w:rsid w:val="003B4410"/>
    <w:rsid w:val="003B62E4"/>
    <w:rsid w:val="003D3037"/>
    <w:rsid w:val="003E2BDE"/>
    <w:rsid w:val="004022ED"/>
    <w:rsid w:val="00432623"/>
    <w:rsid w:val="00440FA7"/>
    <w:rsid w:val="0045255D"/>
    <w:rsid w:val="00466D28"/>
    <w:rsid w:val="00470E64"/>
    <w:rsid w:val="00473509"/>
    <w:rsid w:val="0048798C"/>
    <w:rsid w:val="004A69A0"/>
    <w:rsid w:val="004C7875"/>
    <w:rsid w:val="004D48A9"/>
    <w:rsid w:val="004F2D8D"/>
    <w:rsid w:val="004F6F1E"/>
    <w:rsid w:val="005006F4"/>
    <w:rsid w:val="00517D7C"/>
    <w:rsid w:val="005471D3"/>
    <w:rsid w:val="00561C76"/>
    <w:rsid w:val="005808C6"/>
    <w:rsid w:val="005A096A"/>
    <w:rsid w:val="005B365E"/>
    <w:rsid w:val="005E2DCA"/>
    <w:rsid w:val="005F12C5"/>
    <w:rsid w:val="005F7468"/>
    <w:rsid w:val="006007FC"/>
    <w:rsid w:val="0063323D"/>
    <w:rsid w:val="00634765"/>
    <w:rsid w:val="0065112B"/>
    <w:rsid w:val="00657CFE"/>
    <w:rsid w:val="00660406"/>
    <w:rsid w:val="00696E14"/>
    <w:rsid w:val="006A764D"/>
    <w:rsid w:val="006B6535"/>
    <w:rsid w:val="006C080B"/>
    <w:rsid w:val="006C3539"/>
    <w:rsid w:val="0070412F"/>
    <w:rsid w:val="00712327"/>
    <w:rsid w:val="007232EF"/>
    <w:rsid w:val="0072580F"/>
    <w:rsid w:val="00747512"/>
    <w:rsid w:val="0077377E"/>
    <w:rsid w:val="007D6824"/>
    <w:rsid w:val="007F05DB"/>
    <w:rsid w:val="007F2F35"/>
    <w:rsid w:val="00807782"/>
    <w:rsid w:val="008154D5"/>
    <w:rsid w:val="00823EE9"/>
    <w:rsid w:val="00825CDC"/>
    <w:rsid w:val="008539B5"/>
    <w:rsid w:val="008811FA"/>
    <w:rsid w:val="008813B3"/>
    <w:rsid w:val="00897696"/>
    <w:rsid w:val="008A444F"/>
    <w:rsid w:val="008A78E8"/>
    <w:rsid w:val="008B6D74"/>
    <w:rsid w:val="008C6A4B"/>
    <w:rsid w:val="00904427"/>
    <w:rsid w:val="009171AD"/>
    <w:rsid w:val="0093560E"/>
    <w:rsid w:val="00960971"/>
    <w:rsid w:val="00960A90"/>
    <w:rsid w:val="009A27A3"/>
    <w:rsid w:val="009B69DB"/>
    <w:rsid w:val="009E6E0B"/>
    <w:rsid w:val="009F7259"/>
    <w:rsid w:val="00A10FC5"/>
    <w:rsid w:val="00A33B99"/>
    <w:rsid w:val="00A421BE"/>
    <w:rsid w:val="00A450B2"/>
    <w:rsid w:val="00A640BD"/>
    <w:rsid w:val="00A8315D"/>
    <w:rsid w:val="00A843E9"/>
    <w:rsid w:val="00AB5324"/>
    <w:rsid w:val="00AB78EB"/>
    <w:rsid w:val="00AC578C"/>
    <w:rsid w:val="00AD0436"/>
    <w:rsid w:val="00B11F82"/>
    <w:rsid w:val="00B23FF3"/>
    <w:rsid w:val="00B319FB"/>
    <w:rsid w:val="00B4402A"/>
    <w:rsid w:val="00B564C1"/>
    <w:rsid w:val="00B64514"/>
    <w:rsid w:val="00B708DE"/>
    <w:rsid w:val="00B93CD9"/>
    <w:rsid w:val="00BA7D4E"/>
    <w:rsid w:val="00BE4049"/>
    <w:rsid w:val="00C041C0"/>
    <w:rsid w:val="00C04C28"/>
    <w:rsid w:val="00C069F5"/>
    <w:rsid w:val="00C17305"/>
    <w:rsid w:val="00C21C66"/>
    <w:rsid w:val="00C27804"/>
    <w:rsid w:val="00C30F56"/>
    <w:rsid w:val="00C323CF"/>
    <w:rsid w:val="00C41B35"/>
    <w:rsid w:val="00C55DBC"/>
    <w:rsid w:val="00C61A76"/>
    <w:rsid w:val="00C64C6E"/>
    <w:rsid w:val="00C66A94"/>
    <w:rsid w:val="00C73C6A"/>
    <w:rsid w:val="00C77505"/>
    <w:rsid w:val="00C777DC"/>
    <w:rsid w:val="00C92FD2"/>
    <w:rsid w:val="00C93A89"/>
    <w:rsid w:val="00CA381F"/>
    <w:rsid w:val="00CB0A7D"/>
    <w:rsid w:val="00CC105F"/>
    <w:rsid w:val="00D15357"/>
    <w:rsid w:val="00D239CB"/>
    <w:rsid w:val="00D2612B"/>
    <w:rsid w:val="00D27E73"/>
    <w:rsid w:val="00D461D2"/>
    <w:rsid w:val="00D55668"/>
    <w:rsid w:val="00D56859"/>
    <w:rsid w:val="00D666F3"/>
    <w:rsid w:val="00D7052E"/>
    <w:rsid w:val="00D737AA"/>
    <w:rsid w:val="00D816BA"/>
    <w:rsid w:val="00D826AE"/>
    <w:rsid w:val="00D921A5"/>
    <w:rsid w:val="00D976F8"/>
    <w:rsid w:val="00DA7385"/>
    <w:rsid w:val="00DB1939"/>
    <w:rsid w:val="00DC3C9D"/>
    <w:rsid w:val="00DF6107"/>
    <w:rsid w:val="00E06AB2"/>
    <w:rsid w:val="00E41989"/>
    <w:rsid w:val="00E57873"/>
    <w:rsid w:val="00E66F2D"/>
    <w:rsid w:val="00E74C69"/>
    <w:rsid w:val="00EA21C7"/>
    <w:rsid w:val="00EA2468"/>
    <w:rsid w:val="00EC756C"/>
    <w:rsid w:val="00ED0447"/>
    <w:rsid w:val="00EE3F41"/>
    <w:rsid w:val="00EE7F7E"/>
    <w:rsid w:val="00EF44AC"/>
    <w:rsid w:val="00EF5B94"/>
    <w:rsid w:val="00EF7B75"/>
    <w:rsid w:val="00F002C5"/>
    <w:rsid w:val="00F00EB8"/>
    <w:rsid w:val="00F02634"/>
    <w:rsid w:val="00F11672"/>
    <w:rsid w:val="00F21CEA"/>
    <w:rsid w:val="00F37A60"/>
    <w:rsid w:val="00F40FBA"/>
    <w:rsid w:val="00F42C71"/>
    <w:rsid w:val="00F47C1E"/>
    <w:rsid w:val="00F5376B"/>
    <w:rsid w:val="00F64A02"/>
    <w:rsid w:val="00F653B8"/>
    <w:rsid w:val="00F67BBE"/>
    <w:rsid w:val="00F73876"/>
    <w:rsid w:val="00F83B49"/>
    <w:rsid w:val="00F958B2"/>
    <w:rsid w:val="00F96A43"/>
    <w:rsid w:val="00FA201F"/>
    <w:rsid w:val="00FA4800"/>
    <w:rsid w:val="00FC7B82"/>
    <w:rsid w:val="00FD12B2"/>
    <w:rsid w:val="00FF130E"/>
    <w:rsid w:val="00FF745F"/>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77314D3D-508E-43FB-8393-284EB29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EndNoteBibliography">
    <w:name w:val="EndNote Bibliography"/>
    <w:basedOn w:val="Normal"/>
    <w:link w:val="EndNoteBibliographyChar"/>
    <w:rsid w:val="00B319FB"/>
    <w:pPr>
      <w:spacing w:after="200" w:line="240" w:lineRule="auto"/>
      <w:jc w:val="both"/>
    </w:pPr>
    <w:rPr>
      <w:rFonts w:ascii="Cambria" w:eastAsia="Cambria" w:hAnsi="Cambria" w:cs="Times New Roman"/>
      <w:sz w:val="24"/>
      <w:szCs w:val="20"/>
      <w:lang w:val="en-US"/>
    </w:rPr>
  </w:style>
  <w:style w:type="character" w:customStyle="1" w:styleId="EndNoteBibliographyChar">
    <w:name w:val="EndNote Bibliography Char"/>
    <w:basedOn w:val="DefaultParagraphFont"/>
    <w:link w:val="EndNoteBibliography"/>
    <w:rsid w:val="00B319FB"/>
    <w:rPr>
      <w:rFonts w:ascii="Cambria" w:eastAsia="Cambria" w:hAnsi="Cambri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darkmatterproject.org/ma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m.ox.ac.uk/people/jim-hugh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1A663EDF-C882-4BD9-97A2-D74A56571D7B}"/>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Links>
    <vt:vector size="12" baseType="variant">
      <vt:variant>
        <vt:i4>4718677</vt:i4>
      </vt:variant>
      <vt:variant>
        <vt:i4>3</vt:i4>
      </vt:variant>
      <vt:variant>
        <vt:i4>0</vt:i4>
      </vt:variant>
      <vt:variant>
        <vt:i4>5</vt:i4>
      </vt:variant>
      <vt:variant>
        <vt:lpwstr>https://www.thedarkmatterproject.org/main</vt:lpwstr>
      </vt:variant>
      <vt:variant>
        <vt:lpwstr/>
      </vt:variant>
      <vt:variant>
        <vt:i4>2162721</vt:i4>
      </vt:variant>
      <vt:variant>
        <vt:i4>0</vt:i4>
      </vt:variant>
      <vt:variant>
        <vt:i4>0</vt:i4>
      </vt:variant>
      <vt:variant>
        <vt:i4>5</vt:i4>
      </vt:variant>
      <vt:variant>
        <vt:lpwstr>https://www.imm.ox.ac.uk/people/jim-hughes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102</cp:revision>
  <dcterms:created xsi:type="dcterms:W3CDTF">2021-07-02T00:19:00Z</dcterms:created>
  <dcterms:modified xsi:type="dcterms:W3CDTF">2021-09-10T08:33:00Z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