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7FB932B3" w:rsidP="7FD3CFA3" w:rsidRDefault="3EE970AA" w14:paraId="44A182B6" w14:textId="61097C17">
      <w:r w:rsidRPr="7FD3CFA3">
        <w:rPr>
          <w:rStyle w:val="TitleChar"/>
        </w:rPr>
        <w:t>PI profile</w:t>
      </w:r>
    </w:p>
    <w:p w:rsidRPr="00904427" w:rsidR="00904427" w:rsidP="324F48FC" w:rsidRDefault="00D461D2" w14:paraId="1C117097" w14:textId="242F06A0">
      <w:pPr>
        <w:pStyle w:val="Heading2"/>
        <w:rPr>
          <w:sz w:val="28"/>
          <w:szCs w:val="28"/>
        </w:rPr>
      </w:pPr>
      <w:r w:rsidRPr="324F48FC" w:rsidR="77E72CC5">
        <w:rPr>
          <w:sz w:val="28"/>
          <w:szCs w:val="28"/>
        </w:rPr>
        <w:t>Alexander</w:t>
      </w:r>
      <w:r w:rsidRPr="324F48FC" w:rsidR="00D461D2">
        <w:rPr>
          <w:sz w:val="28"/>
          <w:szCs w:val="28"/>
        </w:rPr>
        <w:t xml:space="preserve"> </w:t>
      </w:r>
      <w:r w:rsidRPr="324F48FC" w:rsidR="376D60AF">
        <w:rPr>
          <w:sz w:val="28"/>
          <w:szCs w:val="28"/>
        </w:rPr>
        <w:t>Mentzer</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546"/>
        <w:gridCol w:w="6469"/>
      </w:tblGrid>
      <w:tr w:rsidR="7FB932B3" w:rsidTr="13078046" w14:paraId="797766DF" w14:textId="77777777">
        <w:tc>
          <w:tcPr>
            <w:tcW w:w="2546" w:type="dxa"/>
            <w:tcMar/>
          </w:tcPr>
          <w:p w:rsidR="582D06AA" w:rsidP="324F48FC" w:rsidRDefault="063FF700" w14:paraId="740EF19B" w14:textId="0C022ABF">
            <w:pPr>
              <w:pStyle w:val="Normal"/>
            </w:pPr>
            <w:r w:rsidR="42B5276F">
              <w:drawing>
                <wp:inline wp14:editId="4740CB6F" wp14:anchorId="10D633B4">
                  <wp:extent cx="1409700" cy="1476375"/>
                  <wp:effectExtent l="0" t="0" r="0" b="0"/>
                  <wp:docPr id="1876352718" name="" descr="C:\Users\ischmidt\AppData\Local\Microsoft\Windows\INetCache\Content.Outlook\7IDJAGTS\Wellcome_Trust_by_John_Cairns_Mentzer_cropped.jpg" title=""/>
                  <wp:cNvGraphicFramePr>
                    <a:graphicFrameLocks noChangeAspect="1"/>
                  </wp:cNvGraphicFramePr>
                  <a:graphic>
                    <a:graphicData uri="http://schemas.openxmlformats.org/drawingml/2006/picture">
                      <pic:pic>
                        <pic:nvPicPr>
                          <pic:cNvPr id="0" name=""/>
                          <pic:cNvPicPr/>
                        </pic:nvPicPr>
                        <pic:blipFill>
                          <a:blip r:embed="R84f3c8e9d55f4b53">
                            <a:extLst>
                              <a:ext xmlns:a="http://schemas.openxmlformats.org/drawingml/2006/main" uri="{28A0092B-C50C-407E-A947-70E740481C1C}">
                                <a14:useLocalDpi val="0"/>
                              </a:ext>
                            </a:extLst>
                          </a:blip>
                          <a:stretch>
                            <a:fillRect/>
                          </a:stretch>
                        </pic:blipFill>
                        <pic:spPr>
                          <a:xfrm>
                            <a:off x="0" y="0"/>
                            <a:ext cx="1409700" cy="1476375"/>
                          </a:xfrm>
                          <a:prstGeom prst="rect">
                            <a:avLst/>
                          </a:prstGeom>
                        </pic:spPr>
                      </pic:pic>
                    </a:graphicData>
                  </a:graphic>
                </wp:inline>
              </w:drawing>
            </w:r>
          </w:p>
        </w:tc>
        <w:tc>
          <w:tcPr>
            <w:tcW w:w="6469" w:type="dxa"/>
            <w:tcMar/>
            <w:vAlign w:val="center"/>
          </w:tcPr>
          <w:p w:rsidR="07F49568" w:rsidP="324F48FC" w:rsidRDefault="07F49568" w14:paraId="5EF94829" w14:textId="1BE63DE3">
            <w:pPr>
              <w:spacing w:line="259" w:lineRule="auto"/>
              <w:rPr>
                <w:rFonts w:ascii="Calibri" w:hAnsi="Calibri" w:eastAsia="Calibri" w:cs="Calibri"/>
                <w:b w:val="1"/>
                <w:bCs w:val="1"/>
              </w:rPr>
            </w:pPr>
            <w:r w:rsidRPr="324F48FC" w:rsidR="07F49568">
              <w:rPr>
                <w:rFonts w:ascii="Calibri" w:hAnsi="Calibri" w:eastAsia="Calibri" w:cs="Calibri"/>
                <w:b w:val="1"/>
                <w:bCs w:val="1"/>
              </w:rPr>
              <w:t>Dr</w:t>
            </w:r>
            <w:r w:rsidRPr="324F48FC" w:rsidR="07F49568">
              <w:rPr>
                <w:rFonts w:ascii="Calibri" w:hAnsi="Calibri" w:eastAsia="Calibri" w:cs="Calibri"/>
                <w:b w:val="1"/>
                <w:bCs w:val="1"/>
              </w:rPr>
              <w:t xml:space="preserve"> </w:t>
            </w:r>
            <w:r w:rsidRPr="324F48FC" w:rsidR="75EA2CB6">
              <w:rPr>
                <w:rFonts w:ascii="Calibri" w:hAnsi="Calibri" w:eastAsia="Calibri" w:cs="Calibri"/>
                <w:b w:val="1"/>
                <w:bCs w:val="1"/>
              </w:rPr>
              <w:t>Alexander Mentzer</w:t>
            </w:r>
          </w:p>
          <w:p w:rsidR="7FB932B3" w:rsidP="324F48FC" w:rsidRDefault="7FB932B3" w14:paraId="38E2A023" w14:textId="1D0F9EF8">
            <w:pPr>
              <w:pStyle w:val="Normal"/>
              <w:spacing w:line="259" w:lineRule="auto"/>
              <w:rPr>
                <w:rFonts w:ascii="Calibri" w:hAnsi="Calibri" w:eastAsia="Calibri" w:cs="Calibri"/>
                <w:noProof w:val="0"/>
                <w:sz w:val="22"/>
                <w:szCs w:val="22"/>
                <w:lang w:val="en-GB"/>
              </w:rPr>
            </w:pPr>
            <w:r w:rsidRPr="324F48FC" w:rsidR="7FB932B3">
              <w:rPr>
                <w:rFonts w:ascii="Calibri" w:hAnsi="Calibri" w:eastAsia="Calibri" w:cs="Calibri"/>
                <w:b w:val="1"/>
                <w:bCs w:val="1"/>
              </w:rPr>
              <w:t>Titles</w:t>
            </w:r>
            <w:r w:rsidRPr="324F48FC" w:rsidR="7FB932B3">
              <w:rPr>
                <w:rFonts w:ascii="Calibri" w:hAnsi="Calibri" w:eastAsia="Calibri" w:cs="Calibri"/>
              </w:rPr>
              <w:t xml:space="preserve">: </w:t>
            </w:r>
            <w:r w:rsidRPr="324F48FC" w:rsidR="5D96F0CE">
              <w:rPr>
                <w:rFonts w:ascii="Calibri" w:hAnsi="Calibri" w:eastAsia="Calibri" w:cs="Calibri"/>
                <w:b w:val="0"/>
                <w:bCs w:val="0"/>
                <w:i w:val="0"/>
                <w:iCs w:val="0"/>
                <w:caps w:val="0"/>
                <w:smallCaps w:val="0"/>
                <w:noProof w:val="0"/>
                <w:color w:val="000000" w:themeColor="text1" w:themeTint="FF" w:themeShade="FF"/>
                <w:sz w:val="22"/>
                <w:szCs w:val="22"/>
                <w:lang w:val="en-GB"/>
              </w:rPr>
              <w:t>Group Leader and Academic Clinical Lecturer in Infectious Diseases and General Medicine</w:t>
            </w:r>
          </w:p>
          <w:p w:rsidR="4C15D40A" w:rsidP="324F48FC" w:rsidRDefault="4C15D40A" w14:paraId="38D8DA3E" w14:textId="09B02DB5">
            <w:pPr>
              <w:pStyle w:val="NoSpacing"/>
              <w:spacing w:after="0" w:line="240" w:lineRule="auto"/>
              <w:rPr>
                <w:rFonts w:ascii="Calibri" w:hAnsi="Calibri" w:eastAsia="Calibri" w:cs="Calibri"/>
                <w:noProof w:val="0"/>
                <w:sz w:val="22"/>
                <w:szCs w:val="22"/>
                <w:lang w:val="en-GB"/>
              </w:rPr>
            </w:pPr>
            <w:r w:rsidRPr="324F48FC" w:rsidR="4C15D40A">
              <w:rPr>
                <w:rFonts w:ascii="Calibri" w:hAnsi="Calibri" w:eastAsia="Calibri" w:cs="Calibri"/>
                <w:b w:val="1"/>
                <w:bCs w:val="1"/>
              </w:rPr>
              <w:t>Location</w:t>
            </w:r>
            <w:r w:rsidRPr="324F48FC" w:rsidR="4C15D40A">
              <w:rPr>
                <w:rFonts w:ascii="Calibri" w:hAnsi="Calibri" w:eastAsia="Calibri" w:cs="Calibri"/>
              </w:rPr>
              <w:t>: Wellcome Centre for Human Genetics</w:t>
            </w:r>
            <w:r w:rsidRPr="324F48FC" w:rsidR="61626FCC">
              <w:rPr>
                <w:rFonts w:ascii="Calibri" w:hAnsi="Calibri" w:eastAsia="Calibri" w:cs="Calibri"/>
              </w:rPr>
              <w:t xml:space="preserve"> </w:t>
            </w:r>
            <w:r w:rsidRPr="324F48FC" w:rsidR="5EF04D24">
              <w:rPr>
                <w:rFonts w:ascii="Calibri" w:hAnsi="Calibri" w:eastAsia="Calibri" w:cs="Calibri"/>
                <w:b w:val="0"/>
                <w:bCs w:val="0"/>
                <w:i w:val="0"/>
                <w:iCs w:val="0"/>
                <w:caps w:val="0"/>
                <w:smallCaps w:val="0"/>
                <w:noProof w:val="0"/>
                <w:color w:val="000000" w:themeColor="text1" w:themeTint="FF" w:themeShade="FF"/>
                <w:sz w:val="22"/>
                <w:szCs w:val="22"/>
                <w:lang w:val="en-GB"/>
              </w:rPr>
              <w:t>and John Radcliffe Hospital</w:t>
            </w:r>
          </w:p>
          <w:p w:rsidR="4C15D40A" w:rsidP="324F48FC" w:rsidRDefault="4C15D40A" w14:paraId="6752970A" w14:textId="002E3D9F">
            <w:pPr>
              <w:rPr>
                <w:rFonts w:ascii="Calibri" w:hAnsi="Calibri" w:eastAsia="Calibri" w:cs="Calibri"/>
              </w:rPr>
            </w:pPr>
            <w:r w:rsidRPr="324F48FC" w:rsidR="4C15D40A">
              <w:rPr>
                <w:rFonts w:ascii="Calibri" w:hAnsi="Calibri" w:eastAsia="Calibri" w:cs="Calibri"/>
                <w:b w:val="1"/>
                <w:bCs w:val="1"/>
              </w:rPr>
              <w:t>Department</w:t>
            </w:r>
            <w:r w:rsidRPr="324F48FC" w:rsidR="4C15D40A">
              <w:rPr>
                <w:rFonts w:ascii="Calibri" w:hAnsi="Calibri" w:eastAsia="Calibri" w:cs="Calibri"/>
              </w:rPr>
              <w:t>: Nuffield Department of Medicine</w:t>
            </w:r>
            <w:r w:rsidRPr="324F48FC" w:rsidR="4BE68199">
              <w:rPr>
                <w:rFonts w:ascii="Calibri" w:hAnsi="Calibri" w:eastAsia="Calibri" w:cs="Calibri"/>
              </w:rPr>
              <w:t xml:space="preserve"> </w:t>
            </w:r>
          </w:p>
          <w:p w:rsidR="7FB932B3" w:rsidP="324F48FC" w:rsidRDefault="7FB932B3" w14:paraId="45F819F1" w14:textId="10A02ADD">
            <w:pPr>
              <w:pStyle w:val="Normal"/>
              <w:spacing w:line="259" w:lineRule="auto"/>
              <w:rPr>
                <w:rFonts w:ascii="Calibri" w:hAnsi="Calibri" w:eastAsia="Calibri" w:cs="Calibri"/>
                <w:noProof w:val="0"/>
                <w:sz w:val="22"/>
                <w:szCs w:val="22"/>
                <w:lang w:val="en-GB"/>
              </w:rPr>
            </w:pPr>
            <w:r w:rsidRPr="324F48FC" w:rsidR="7FB932B3">
              <w:rPr>
                <w:rFonts w:ascii="Calibri" w:hAnsi="Calibri" w:eastAsia="Calibri" w:cs="Calibri"/>
                <w:b w:val="1"/>
                <w:bCs w:val="1"/>
              </w:rPr>
              <w:t>Group</w:t>
            </w:r>
            <w:r w:rsidRPr="324F48FC" w:rsidR="7FB932B3">
              <w:rPr>
                <w:rFonts w:ascii="Calibri" w:hAnsi="Calibri" w:eastAsia="Calibri" w:cs="Calibri"/>
              </w:rPr>
              <w:t xml:space="preserve">: </w:t>
            </w:r>
            <w:r w:rsidRPr="324F48FC" w:rsidR="6B5DEED6">
              <w:rPr>
                <w:rFonts w:ascii="Calibri" w:hAnsi="Calibri" w:eastAsia="Calibri" w:cs="Calibri"/>
                <w:b w:val="0"/>
                <w:bCs w:val="0"/>
                <w:i w:val="0"/>
                <w:iCs w:val="0"/>
                <w:caps w:val="0"/>
                <w:smallCaps w:val="0"/>
                <w:noProof w:val="0"/>
                <w:color w:val="000000" w:themeColor="text1" w:themeTint="FF" w:themeShade="FF"/>
                <w:sz w:val="22"/>
                <w:szCs w:val="22"/>
                <w:lang w:val="en-GB"/>
              </w:rPr>
              <w:t>Human genetic susceptibility to infection</w:t>
            </w:r>
          </w:p>
          <w:p w:rsidR="7FB932B3" w:rsidP="13078046" w:rsidRDefault="7FB932B3" w14:paraId="15640CBB" w14:textId="674D3AD7">
            <w:pPr>
              <w:pStyle w:val="Normal"/>
              <w:spacing w:after="0" w:line="240" w:lineRule="auto"/>
              <w:rPr>
                <w:rFonts w:ascii="Calibri" w:hAnsi="Calibri" w:eastAsia="Calibri" w:cs="Calibri"/>
                <w:noProof w:val="0"/>
                <w:sz w:val="22"/>
                <w:szCs w:val="22"/>
                <w:lang w:val="en-GB"/>
              </w:rPr>
            </w:pPr>
            <w:r w:rsidRPr="13078046" w:rsidR="7FB932B3">
              <w:rPr>
                <w:rFonts w:ascii="Calibri" w:hAnsi="Calibri" w:eastAsia="Calibri" w:cs="Calibri"/>
                <w:b w:val="1"/>
                <w:bCs w:val="1"/>
              </w:rPr>
              <w:t>Webpage</w:t>
            </w:r>
            <w:r w:rsidRPr="13078046" w:rsidR="7FB932B3">
              <w:rPr>
                <w:rFonts w:ascii="Calibri" w:hAnsi="Calibri" w:eastAsia="Calibri" w:cs="Calibri"/>
              </w:rPr>
              <w:t xml:space="preserve">: </w:t>
            </w:r>
            <w:hyperlink r:id="R08a90409a7064f84">
              <w:r w:rsidRPr="13078046" w:rsidR="7B054DA7">
                <w:rPr>
                  <w:rStyle w:val="Hyperlink"/>
                  <w:rFonts w:ascii="Calibri" w:hAnsi="Calibri" w:eastAsia="Calibri" w:cs="Calibri"/>
                </w:rPr>
                <w:t>https://www.well.ox.ac.uk/research/research-groups/mentzer-hill-group</w:t>
              </w:r>
            </w:hyperlink>
            <w:r w:rsidRPr="13078046" w:rsidR="7B054DA7">
              <w:rPr>
                <w:rFonts w:ascii="Calibri" w:hAnsi="Calibri" w:eastAsia="Calibri" w:cs="Calibri"/>
              </w:rPr>
              <w:t xml:space="preserve"> </w:t>
            </w:r>
          </w:p>
          <w:p w:rsidR="00904427" w:rsidP="324F48FC" w:rsidRDefault="00A33B99" w14:paraId="37A7AF9B" w14:textId="46590AF0">
            <w:pPr>
              <w:spacing w:line="259" w:lineRule="auto"/>
              <w:rPr>
                <w:rFonts w:ascii="Calibri" w:hAnsi="Calibri" w:eastAsia="Calibri" w:cs="Calibri"/>
                <w:noProof w:val="0"/>
                <w:sz w:val="22"/>
                <w:szCs w:val="22"/>
                <w:lang w:val="en-GB"/>
              </w:rPr>
            </w:pPr>
            <w:r w:rsidRPr="324F48FC" w:rsidR="7FB932B3">
              <w:rPr>
                <w:rFonts w:ascii="Calibri" w:hAnsi="Calibri" w:eastAsia="Calibri" w:cs="Calibri"/>
                <w:b w:val="1"/>
                <w:bCs w:val="1"/>
              </w:rPr>
              <w:t>Email</w:t>
            </w:r>
            <w:r w:rsidRPr="324F48FC" w:rsidR="7FB932B3">
              <w:rPr>
                <w:rFonts w:ascii="Calibri" w:hAnsi="Calibri" w:eastAsia="Calibri" w:cs="Calibri"/>
              </w:rPr>
              <w:t xml:space="preserve">: </w:t>
            </w:r>
            <w:hyperlink r:id="Rc9d180a6becd41ed">
              <w:r w:rsidRPr="324F48FC" w:rsidR="7D51398F">
                <w:rPr>
                  <w:rStyle w:val="Hyperlink"/>
                  <w:rFonts w:ascii="Calibri" w:hAnsi="Calibri" w:eastAsia="Calibri" w:cs="Calibri"/>
                  <w:b w:val="0"/>
                  <w:bCs w:val="0"/>
                  <w:i w:val="0"/>
                  <w:iCs w:val="0"/>
                  <w:caps w:val="0"/>
                  <w:smallCaps w:val="0"/>
                  <w:noProof w:val="0"/>
                  <w:sz w:val="22"/>
                  <w:szCs w:val="22"/>
                  <w:lang w:val="en-GB"/>
                </w:rPr>
                <w:t>alexander.mentzer@ndm.ox.ac.uk</w:t>
              </w:r>
            </w:hyperlink>
            <w:r w:rsidRPr="324F48FC" w:rsidR="7D5139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tc>
      </w:tr>
    </w:tbl>
    <w:p w:rsidR="7FD3CFA3" w:rsidP="7FD3CFA3" w:rsidRDefault="7FD3CFA3" w14:paraId="7D3A9C97" w14:textId="16E14DBD">
      <w:pPr>
        <w:pStyle w:val="Heading3"/>
      </w:pPr>
    </w:p>
    <w:p w:rsidR="6A7A4237" w:rsidP="7FD3CFA3" w:rsidRDefault="6A7A4237" w14:paraId="3E8D01B8" w14:textId="40436F47">
      <w:pPr>
        <w:pStyle w:val="Heading3"/>
      </w:pPr>
      <w:r w:rsidR="6A7A4237">
        <w:rPr/>
        <w:t xml:space="preserve">GMS themes: </w:t>
      </w:r>
    </w:p>
    <w:p w:rsidR="6A7A4237" w:rsidP="7FD3CFA3" w:rsidRDefault="6A7A4237" w14:paraId="17D75D69" w14:textId="6C5DB8C3">
      <w:pPr>
        <w:pStyle w:val="ListParagraph"/>
        <w:numPr>
          <w:ilvl w:val="0"/>
          <w:numId w:val="4"/>
        </w:numPr>
        <w:rPr/>
      </w:pPr>
      <w:r w:rsidR="6A7A4237">
        <w:rPr/>
        <w:t>Genomic and –</w:t>
      </w:r>
      <w:proofErr w:type="spellStart"/>
      <w:r w:rsidR="6A7A4237">
        <w:rPr/>
        <w:t>omic</w:t>
      </w:r>
      <w:proofErr w:type="spellEnd"/>
      <w:r w:rsidR="6A7A4237">
        <w:rPr/>
        <w:t xml:space="preserve"> technologies</w:t>
      </w:r>
    </w:p>
    <w:p w:rsidR="6A7A4237" w:rsidP="7FD3CFA3" w:rsidRDefault="6A7A4237" w14:paraId="2860E620" w14:textId="77777777">
      <w:pPr>
        <w:pStyle w:val="ListParagraph"/>
        <w:numPr>
          <w:ilvl w:val="0"/>
          <w:numId w:val="4"/>
        </w:numPr>
        <w:rPr/>
      </w:pPr>
      <w:r w:rsidR="6A7A4237">
        <w:rPr/>
        <w:t>Genomics of disease</w:t>
      </w:r>
    </w:p>
    <w:p w:rsidR="6A7A4237" w:rsidP="7FD3CFA3" w:rsidRDefault="6A7A4237" w14:paraId="0AA15045" w14:textId="5DDBB7BE">
      <w:pPr>
        <w:pStyle w:val="ListParagraph"/>
        <w:numPr>
          <w:ilvl w:val="0"/>
          <w:numId w:val="4"/>
        </w:numPr>
      </w:pPr>
      <w:r>
        <w:t>Application of genomics in the clinic (diagnostics and therapeutics)</w:t>
      </w:r>
    </w:p>
    <w:p w:rsidR="1E925C02" w:rsidP="7FB932B3" w:rsidRDefault="1E925C02" w14:paraId="596B81AD" w14:textId="19A71332">
      <w:pPr>
        <w:pStyle w:val="Heading3"/>
        <w:rPr>
          <w:rFonts w:ascii="Calibri Light" w:hAnsi="Calibri Light"/>
          <w:color w:val="1F3763"/>
        </w:rPr>
      </w:pPr>
      <w:r w:rsidR="1E925C02">
        <w:rPr/>
        <w:t>Research Overview</w:t>
      </w:r>
    </w:p>
    <w:p w:rsidR="6CF579DF" w:rsidP="13078046" w:rsidRDefault="6CF579DF" w14:paraId="78203A63" w14:textId="19EA522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3078046" w:rsidR="6CF57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Human genetic diversity has both been shaped </w:t>
      </w:r>
      <w:proofErr w:type="gramStart"/>
      <w:r w:rsidRPr="13078046" w:rsidR="6CF579DF">
        <w:rPr>
          <w:rFonts w:ascii="Calibri" w:hAnsi="Calibri" w:eastAsia="Calibri" w:cs="Calibri"/>
          <w:b w:val="0"/>
          <w:bCs w:val="0"/>
          <w:i w:val="0"/>
          <w:iCs w:val="0"/>
          <w:caps w:val="0"/>
          <w:smallCaps w:val="0"/>
          <w:noProof w:val="0"/>
          <w:color w:val="000000" w:themeColor="text1" w:themeTint="FF" w:themeShade="FF"/>
          <w:sz w:val="22"/>
          <w:szCs w:val="22"/>
          <w:lang w:val="en-GB"/>
        </w:rPr>
        <w:t>by, and</w:t>
      </w:r>
      <w:proofErr w:type="gramEnd"/>
      <w:r w:rsidRPr="13078046" w:rsidR="6CF57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influences how we respond to infectious disease which continues to pose an enormous global burden of morbidity and mortality</w:t>
      </w:r>
      <w:r w:rsidRPr="13078046" w:rsidR="6AF0D8B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highlighted recently by the COVID-19 pandemic</w:t>
      </w:r>
      <w:r w:rsidRPr="13078046" w:rsidR="6CF579DF">
        <w:rPr>
          <w:rFonts w:ascii="Calibri" w:hAnsi="Calibri" w:eastAsia="Calibri" w:cs="Calibri"/>
          <w:b w:val="0"/>
          <w:bCs w:val="0"/>
          <w:i w:val="0"/>
          <w:iCs w:val="0"/>
          <w:caps w:val="0"/>
          <w:smallCaps w:val="0"/>
          <w:noProof w:val="0"/>
          <w:color w:val="000000" w:themeColor="text1" w:themeTint="FF" w:themeShade="FF"/>
          <w:sz w:val="22"/>
          <w:szCs w:val="22"/>
          <w:lang w:val="en-GB"/>
        </w:rPr>
        <w:t>. It remains unclear the extent to which this genetic diversity influences immune responses in the context of vaccination and how we can use this information to target or tailor international vaccination efforts</w:t>
      </w:r>
      <w:r w:rsidRPr="13078046" w:rsidR="1DC982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 variety of infectious pathogens</w:t>
      </w:r>
      <w:r w:rsidRPr="13078046" w:rsidR="0F1F45B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use this information at the clinical front-line for patients unwell with infectious diseases</w:t>
      </w:r>
      <w:r w:rsidRPr="13078046" w:rsidR="6CF57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Our research group uses antibody responses as a model of conserved antigen-specific immune response against infectious agents and then correlates these responses with human genetic diversity to understand these relationships both following natural infection exposure and vaccination. We have developed bespoke multi-antigen antibody assays (Brenner, Mentzer et al PLOS One 2018, 2019) to facilitate such measurements in very large cohorts around the world including UK Biobank (Mentzer et al, </w:t>
      </w:r>
      <w:r w:rsidRPr="13078046" w:rsidR="05121CA6">
        <w:rPr>
          <w:rFonts w:ascii="Calibri" w:hAnsi="Calibri" w:eastAsia="Calibri" w:cs="Calibri"/>
          <w:b w:val="0"/>
          <w:bCs w:val="0"/>
          <w:i w:val="0"/>
          <w:iCs w:val="0"/>
          <w:caps w:val="0"/>
          <w:smallCaps w:val="0"/>
          <w:noProof w:val="0"/>
          <w:color w:val="000000" w:themeColor="text1" w:themeTint="FF" w:themeShade="FF"/>
          <w:sz w:val="22"/>
          <w:szCs w:val="22"/>
          <w:lang w:val="en-GB"/>
        </w:rPr>
        <w:t>Nat. Comms. 2022</w:t>
      </w:r>
      <w:r w:rsidRPr="13078046" w:rsidR="6CF57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China </w:t>
      </w:r>
      <w:proofErr w:type="spellStart"/>
      <w:r w:rsidRPr="13078046" w:rsidR="6CF579DF">
        <w:rPr>
          <w:rFonts w:ascii="Calibri" w:hAnsi="Calibri" w:eastAsia="Calibri" w:cs="Calibri"/>
          <w:b w:val="0"/>
          <w:bCs w:val="0"/>
          <w:i w:val="0"/>
          <w:iCs w:val="0"/>
          <w:caps w:val="0"/>
          <w:smallCaps w:val="0"/>
          <w:noProof w:val="0"/>
          <w:color w:val="000000" w:themeColor="text1" w:themeTint="FF" w:themeShade="FF"/>
          <w:sz w:val="22"/>
          <w:szCs w:val="22"/>
          <w:lang w:val="en-GB"/>
        </w:rPr>
        <w:t>Kadoorie</w:t>
      </w:r>
      <w:proofErr w:type="spellEnd"/>
      <w:r w:rsidRPr="13078046" w:rsidR="6CF57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Biobank</w:t>
      </w:r>
      <w:r w:rsidRPr="13078046" w:rsidR="66A0BAE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(Yao et al, BMJ Open, 2022) </w:t>
      </w:r>
      <w:r w:rsidRPr="13078046" w:rsidR="6CF57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various vaccinated infant cohorts across Africa (Muriuki*, Mentzer* et al Sci Adv 2019) and Asia.  Using these </w:t>
      </w:r>
      <w:proofErr w:type="gramStart"/>
      <w:r w:rsidRPr="13078046" w:rsidR="6CF579DF">
        <w:rPr>
          <w:rFonts w:ascii="Calibri" w:hAnsi="Calibri" w:eastAsia="Calibri" w:cs="Calibri"/>
          <w:b w:val="0"/>
          <w:bCs w:val="0"/>
          <w:i w:val="0"/>
          <w:iCs w:val="0"/>
          <w:caps w:val="0"/>
          <w:smallCaps w:val="0"/>
          <w:noProof w:val="0"/>
          <w:color w:val="000000" w:themeColor="text1" w:themeTint="FF" w:themeShade="FF"/>
          <w:sz w:val="22"/>
          <w:szCs w:val="22"/>
          <w:lang w:val="en-GB"/>
        </w:rPr>
        <w:t>approaches</w:t>
      </w:r>
      <w:proofErr w:type="gramEnd"/>
      <w:r w:rsidRPr="13078046" w:rsidR="6CF57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 have found that diversity in complex regions of the genome such as the major histocompatibility complex and immunoglobulin loci strongly affect responses to natural infectious challenge from agents such as the human herpesvirus family members and vaccination responses against agents such as </w:t>
      </w:r>
      <w:r w:rsidRPr="13078046" w:rsidR="6CF579DF">
        <w:rPr>
          <w:rFonts w:ascii="Calibri" w:hAnsi="Calibri" w:eastAsia="Calibri" w:cs="Calibri"/>
          <w:b w:val="0"/>
          <w:bCs w:val="0"/>
          <w:i w:val="1"/>
          <w:iCs w:val="1"/>
          <w:caps w:val="0"/>
          <w:smallCaps w:val="0"/>
          <w:noProof w:val="0"/>
          <w:color w:val="000000" w:themeColor="text1" w:themeTint="FF" w:themeShade="FF"/>
          <w:sz w:val="22"/>
          <w:szCs w:val="22"/>
          <w:lang w:val="en-GB"/>
        </w:rPr>
        <w:t>B. pertussis</w:t>
      </w:r>
      <w:r w:rsidRPr="13078046" w:rsidR="6CF579DF">
        <w:rPr>
          <w:rFonts w:ascii="Calibri" w:hAnsi="Calibri" w:eastAsia="Calibri" w:cs="Calibri"/>
          <w:b w:val="0"/>
          <w:bCs w:val="0"/>
          <w:i w:val="0"/>
          <w:iCs w:val="0"/>
          <w:caps w:val="0"/>
          <w:smallCaps w:val="0"/>
          <w:noProof w:val="0"/>
          <w:color w:val="000000" w:themeColor="text1" w:themeTint="FF" w:themeShade="FF"/>
          <w:sz w:val="22"/>
          <w:szCs w:val="22"/>
          <w:lang w:val="en-GB"/>
        </w:rPr>
        <w:t>, the cause of whooping cough</w:t>
      </w:r>
      <w:r w:rsidRPr="13078046" w:rsidR="6CF57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3078046" w:rsidR="6CF579DF">
        <w:rPr>
          <w:rFonts w:ascii="Calibri" w:hAnsi="Calibri" w:eastAsia="Calibri" w:cs="Calibri"/>
          <w:b w:val="0"/>
          <w:bCs w:val="0"/>
          <w:i w:val="0"/>
          <w:iCs w:val="0"/>
          <w:caps w:val="0"/>
          <w:smallCaps w:val="0"/>
          <w:noProof w:val="0"/>
          <w:color w:val="000000" w:themeColor="text1" w:themeTint="FF" w:themeShade="FF"/>
          <w:sz w:val="22"/>
          <w:szCs w:val="22"/>
          <w:lang w:val="en-GB"/>
        </w:rPr>
        <w:t>Our current objectives are to expand and combine these datasets to understand how much human genetic diversity affects responses against multiple infections simultaneously or whether such variation effect is pathogen-</w:t>
      </w:r>
      <w:proofErr w:type="gramStart"/>
      <w:r w:rsidRPr="13078046" w:rsidR="6CF579DF">
        <w:rPr>
          <w:rFonts w:ascii="Calibri" w:hAnsi="Calibri" w:eastAsia="Calibri" w:cs="Calibri"/>
          <w:b w:val="0"/>
          <w:bCs w:val="0"/>
          <w:i w:val="0"/>
          <w:iCs w:val="0"/>
          <w:caps w:val="0"/>
          <w:smallCaps w:val="0"/>
          <w:noProof w:val="0"/>
          <w:color w:val="000000" w:themeColor="text1" w:themeTint="FF" w:themeShade="FF"/>
          <w:sz w:val="22"/>
          <w:szCs w:val="22"/>
          <w:lang w:val="en-GB"/>
        </w:rPr>
        <w:t>specific, and</w:t>
      </w:r>
      <w:proofErr w:type="gramEnd"/>
      <w:r w:rsidRPr="13078046" w:rsidR="6CF57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understand the scope of these effects to other emerging infections such as </w:t>
      </w:r>
      <w:r w:rsidRPr="13078046" w:rsidR="4460E716">
        <w:rPr>
          <w:rFonts w:ascii="Calibri" w:hAnsi="Calibri" w:eastAsia="Calibri" w:cs="Calibri"/>
          <w:b w:val="0"/>
          <w:bCs w:val="0"/>
          <w:i w:val="0"/>
          <w:iCs w:val="0"/>
          <w:caps w:val="0"/>
          <w:smallCaps w:val="0"/>
          <w:noProof w:val="0"/>
          <w:color w:val="000000" w:themeColor="text1" w:themeTint="FF" w:themeShade="FF"/>
          <w:sz w:val="22"/>
          <w:szCs w:val="22"/>
          <w:lang w:val="en-GB"/>
        </w:rPr>
        <w:t>COVID-19</w:t>
      </w:r>
      <w:r w:rsidRPr="13078046" w:rsidR="6CF579D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3078046" w:rsidR="1A670C7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 also aim to use these population insights in unique samples collected in the acute hospital setting.</w:t>
      </w:r>
      <w:r w:rsidRPr="13078046" w:rsidR="6CF579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Ultimately it is hoped that this work will inform </w:t>
      </w:r>
      <w:r w:rsidRPr="13078046" w:rsidR="2D169D8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both </w:t>
      </w:r>
      <w:r w:rsidRPr="13078046" w:rsidR="6CF579DF">
        <w:rPr>
          <w:rFonts w:ascii="Calibri" w:hAnsi="Calibri" w:eastAsia="Calibri" w:cs="Calibri"/>
          <w:b w:val="0"/>
          <w:bCs w:val="0"/>
          <w:i w:val="0"/>
          <w:iCs w:val="0"/>
          <w:caps w:val="0"/>
          <w:smallCaps w:val="0"/>
          <w:noProof w:val="0"/>
          <w:color w:val="000000" w:themeColor="text1" w:themeTint="FF" w:themeShade="FF"/>
          <w:sz w:val="22"/>
          <w:szCs w:val="22"/>
          <w:lang w:val="en-GB"/>
        </w:rPr>
        <w:t>future vaccination efforts to help develop more tailored yet universally effective vaccines against multiple infectious agents</w:t>
      </w:r>
      <w:r w:rsidRPr="13078046" w:rsidR="10499D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roofErr w:type="gramStart"/>
      <w:r w:rsidRPr="13078046" w:rsidR="10499D84">
        <w:rPr>
          <w:rFonts w:ascii="Calibri" w:hAnsi="Calibri" w:eastAsia="Calibri" w:cs="Calibri"/>
          <w:b w:val="0"/>
          <w:bCs w:val="0"/>
          <w:i w:val="0"/>
          <w:iCs w:val="0"/>
          <w:caps w:val="0"/>
          <w:smallCaps w:val="0"/>
          <w:noProof w:val="0"/>
          <w:color w:val="000000" w:themeColor="text1" w:themeTint="FF" w:themeShade="FF"/>
          <w:sz w:val="22"/>
          <w:szCs w:val="22"/>
          <w:lang w:val="en-GB"/>
        </w:rPr>
        <w:t>and also</w:t>
      </w:r>
      <w:proofErr w:type="gramEnd"/>
      <w:r w:rsidRPr="13078046" w:rsidR="10499D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novel diagnostic and prognostic approaches for patients presenting to hospital with infectious </w:t>
      </w:r>
      <w:r w:rsidRPr="13078046" w:rsidR="10499D84">
        <w:rPr>
          <w:rFonts w:ascii="Calibri" w:hAnsi="Calibri" w:eastAsia="Calibri" w:cs="Calibri"/>
          <w:b w:val="0"/>
          <w:bCs w:val="0"/>
          <w:i w:val="0"/>
          <w:iCs w:val="0"/>
          <w:caps w:val="0"/>
          <w:smallCaps w:val="0"/>
          <w:noProof w:val="0"/>
          <w:color w:val="000000" w:themeColor="text1" w:themeTint="FF" w:themeShade="FF"/>
          <w:sz w:val="22"/>
          <w:szCs w:val="22"/>
          <w:lang w:val="en-GB"/>
        </w:rPr>
        <w:t>diagnoses</w:t>
      </w:r>
      <w:r w:rsidRPr="13078046" w:rsidR="6CF579D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324F48FC" w:rsidP="324F48FC" w:rsidRDefault="324F48FC" w14:paraId="5DD9FF5D" w14:textId="490562D4">
      <w:pPr>
        <w:pStyle w:val="Normal"/>
        <w:rPr>
          <w:rFonts w:ascii="Calibri" w:hAnsi="Calibri" w:eastAsia="Calibri" w:cs="Calibri"/>
        </w:rPr>
      </w:pPr>
    </w:p>
    <w:p w:rsidR="6528CCDC" w:rsidP="324F48FC" w:rsidRDefault="6528CCDC" w14:paraId="7ADF3F8C" w14:textId="14CC3F7F">
      <w:pPr>
        <w:pStyle w:val="Normal"/>
        <w:rPr>
          <w:rFonts w:ascii="Calibri" w:hAnsi="Calibri" w:eastAsia="Calibri" w:cs="Calibri"/>
          <w:noProof w:val="0"/>
          <w:sz w:val="22"/>
          <w:szCs w:val="22"/>
          <w:lang w:val="en-GB"/>
        </w:rPr>
      </w:pPr>
      <w:r w:rsidRPr="324F48FC" w:rsidR="6528CCDC">
        <w:rPr>
          <w:rStyle w:val="Heading3Char"/>
        </w:rPr>
        <w:t>Project areas</w:t>
      </w:r>
      <w:r w:rsidRPr="324F48FC" w:rsidR="5A9BDCA9">
        <w:rPr>
          <w:rStyle w:val="Heading3Char"/>
        </w:rPr>
        <w:t>:</w:t>
      </w:r>
      <w:r w:rsidR="63FD05EE">
        <w:rPr/>
        <w:t xml:space="preserve"> </w:t>
      </w:r>
      <w:r w:rsidRPr="324F48FC" w:rsidR="410025B8">
        <w:rPr>
          <w:rFonts w:ascii="Calibri" w:hAnsi="Calibri" w:eastAsia="Calibri" w:cs="Calibri"/>
          <w:b w:val="0"/>
          <w:bCs w:val="0"/>
          <w:i w:val="0"/>
          <w:iCs w:val="0"/>
          <w:caps w:val="0"/>
          <w:smallCaps w:val="0"/>
          <w:noProof w:val="0"/>
          <w:color w:val="000000" w:themeColor="text1" w:themeTint="FF" w:themeShade="FF"/>
          <w:sz w:val="22"/>
          <w:szCs w:val="22"/>
          <w:lang w:val="en-GB"/>
        </w:rPr>
        <w:t>Genome-wide association studies, analysis of immune and complex traits, stratified and personalised medicine</w:t>
      </w:r>
    </w:p>
    <w:p w:rsidR="1E925C02" w:rsidP="7FB932B3" w:rsidRDefault="1E925C02" w14:paraId="6545E0F8" w14:textId="1A6EB5C2">
      <w:pPr>
        <w:pStyle w:val="Heading3"/>
        <w:rPr>
          <w:rFonts w:ascii="Calibri Light" w:hAnsi="Calibri Light"/>
          <w:color w:val="1F3763"/>
        </w:rPr>
      </w:pPr>
      <w:r w:rsidRPr="7FB932B3">
        <w:t>Specific project proposals:</w:t>
      </w:r>
    </w:p>
    <w:p w:rsidR="1E925C02" w:rsidP="324F48FC" w:rsidRDefault="0D5D3FB3" w14:paraId="7F94E328" w14:textId="66EBB08E">
      <w:pPr>
        <w:pStyle w:val="ListParagraph"/>
        <w:numPr>
          <w:ilvl w:val="0"/>
          <w:numId w:val="10"/>
        </w:numPr>
        <w:spacing w:line="240" w:lineRule="exact"/>
        <w:rPr>
          <w:rFonts w:ascii="Calibri" w:hAnsi="Calibri" w:eastAsia="Calibri" w:cs="Calibri" w:asciiTheme="minorAscii" w:hAnsiTheme="minorAscii" w:eastAsiaTheme="minorAscii" w:cstheme="minorAscii"/>
          <w:sz w:val="22"/>
          <w:szCs w:val="22"/>
        </w:rPr>
      </w:pPr>
      <w:r w:rsidRPr="324F48FC" w:rsidR="0D5D3FB3">
        <w:rPr>
          <w:rFonts w:ascii="Times New Roman" w:hAnsi="Times New Roman" w:eastAsia="Times New Roman" w:cs="Times New Roman"/>
          <w:sz w:val="14"/>
          <w:szCs w:val="14"/>
        </w:rPr>
        <w:t xml:space="preserve"> </w:t>
      </w:r>
      <w:r w:rsidRPr="324F48FC" w:rsidR="67F0D7AB">
        <w:rPr>
          <w:rFonts w:ascii="Times New Roman" w:hAnsi="Times New Roman" w:eastAsia="Times New Roman" w:cs="Times New Roman"/>
          <w:sz w:val="14"/>
          <w:szCs w:val="14"/>
        </w:rPr>
        <w:t xml:space="preserve"> </w:t>
      </w:r>
      <w:r w:rsidRPr="324F48FC" w:rsidR="0D5D3FB3">
        <w:rPr>
          <w:rFonts w:ascii="Calibri" w:hAnsi="Calibri" w:eastAsia="Calibri" w:cs="Calibri"/>
        </w:rPr>
        <w:t>‘</w:t>
      </w:r>
      <w:r w:rsidRPr="324F48FC" w:rsidR="0888D809">
        <w:rPr>
          <w:rFonts w:ascii="Calibri" w:hAnsi="Calibri" w:eastAsia="Calibri" w:cs="Calibri"/>
        </w:rPr>
        <w:t>The functional consequences of human genetic variation on response to infectious disease</w:t>
      </w:r>
      <w:r w:rsidRPr="324F48FC" w:rsidR="0D5D3FB3">
        <w:rPr>
          <w:rFonts w:ascii="Calibri" w:hAnsi="Calibri" w:eastAsia="Calibri" w:cs="Calibri"/>
        </w:rPr>
        <w:t>’</w:t>
      </w:r>
      <w:r w:rsidRPr="324F48FC" w:rsidR="0AFBF772">
        <w:rPr>
          <w:rFonts w:ascii="Calibri" w:hAnsi="Calibri" w:eastAsia="Calibri" w:cs="Calibri"/>
        </w:rPr>
        <w:t xml:space="preserve"> </w:t>
      </w:r>
    </w:p>
    <w:p w:rsidRPr="002302D4" w:rsidR="002302D4" w:rsidP="002302D4" w:rsidRDefault="29F2792C" w14:paraId="634ADBB8" w14:textId="02B9306B">
      <w:pPr>
        <w:pStyle w:val="NoSpacing"/>
      </w:pPr>
      <w:r>
        <w:t>Please contact directly for further information</w:t>
      </w:r>
      <w:r w:rsidR="47842339">
        <w:t>.</w:t>
      </w:r>
    </w:p>
    <w:p w:rsidR="6E087F86" w:rsidP="6E087F86" w:rsidRDefault="6E087F86" w14:paraId="3B47C247" w14:textId="7C9DE6CD">
      <w:pPr>
        <w:pStyle w:val="NoSpacing"/>
      </w:pPr>
    </w:p>
    <w:p w:rsidR="5D179630" w:rsidP="13078046" w:rsidRDefault="5D179630" w14:paraId="7AC6593A" w14:textId="4F77E50E">
      <w:pPr>
        <w:pStyle w:val="Normal"/>
        <w:bidi w:val="0"/>
        <w:spacing w:before="0" w:beforeAutospacing="off" w:after="160" w:afterAutospacing="off" w:line="259" w:lineRule="auto"/>
        <w:ind w:left="0" w:right="0"/>
        <w:jc w:val="left"/>
        <w:rPr>
          <w:b w:val="1"/>
          <w:bCs w:val="1"/>
          <w:i w:val="1"/>
          <w:iCs w:val="1"/>
        </w:rPr>
      </w:pPr>
      <w:r w:rsidRPr="13078046" w:rsidR="5D179630">
        <w:rPr>
          <w:rStyle w:val="Heading3Char"/>
          <w:rFonts w:ascii="Calibri" w:hAnsi="Calibri" w:eastAsia="ＭＳ 明朝" w:cs="Arial" w:asciiTheme="minorAscii" w:hAnsiTheme="minorAscii" w:eastAsiaTheme="minorEastAsia" w:cstheme="minorBidi"/>
          <w:i w:val="1"/>
          <w:iCs w:val="1"/>
          <w:sz w:val="22"/>
          <w:szCs w:val="22"/>
        </w:rPr>
        <w:t>These pages were reviewed/updated:</w:t>
      </w:r>
      <w:r w:rsidRPr="13078046" w:rsidR="5D179630">
        <w:rPr>
          <w:b w:val="1"/>
          <w:bCs w:val="1"/>
          <w:i w:val="1"/>
          <w:iCs w:val="1"/>
        </w:rPr>
        <w:t xml:space="preserve"> </w:t>
      </w:r>
      <w:r w:rsidRPr="13078046" w:rsidR="15FB26F1">
        <w:rPr>
          <w:b w:val="1"/>
          <w:bCs w:val="1"/>
          <w:i w:val="1"/>
          <w:iCs w:val="1"/>
        </w:rPr>
        <w:t>1</w:t>
      </w:r>
      <w:r w:rsidRPr="13078046" w:rsidR="2545A018">
        <w:rPr>
          <w:b w:val="1"/>
          <w:bCs w:val="1"/>
          <w:i w:val="1"/>
          <w:iCs w:val="1"/>
        </w:rPr>
        <w:t>5 September 2022</w:t>
      </w:r>
    </w:p>
    <w:p w:rsidR="7FB932B3" w:rsidRDefault="7FB932B3" w14:paraId="54356744" w14:textId="10493551">
      <w:r>
        <w:br w:type="page"/>
      </w:r>
    </w:p>
    <w:p w:rsidR="00EF44AC" w:rsidRDefault="00EF44AC" w14:paraId="638F1CB2" w14:textId="77777777"/>
    <w:p w:rsidR="1940C1DB" w:rsidP="7FB932B3" w:rsidRDefault="1940C1DB" w14:paraId="68B042C6" w14:textId="0A43D494">
      <w:pPr>
        <w:pStyle w:val="Title"/>
        <w:rPr>
          <w:rFonts w:ascii="Calibri Light" w:hAnsi="Calibri Light"/>
        </w:rPr>
      </w:pPr>
      <w:r w:rsidRPr="7FB932B3">
        <w:t>Project proposal</w:t>
      </w:r>
    </w:p>
    <w:p w:rsidR="1940C1DB" w:rsidP="324F48FC" w:rsidRDefault="1940C1DB" w14:paraId="70ECDE73" w14:textId="3459197C">
      <w:pPr>
        <w:pStyle w:val="Heading1"/>
        <w:rPr>
          <w:rStyle w:val="Heading3Char"/>
          <w:rFonts w:ascii="Calibri" w:hAnsi="Calibri" w:eastAsia="Calibri" w:cs="Calibri" w:asciiTheme="minorAscii" w:hAnsiTheme="minorAscii" w:eastAsiaTheme="minorAscii" w:cstheme="minorAscii"/>
          <w:color w:val="auto"/>
          <w:sz w:val="22"/>
          <w:szCs w:val="22"/>
        </w:rPr>
      </w:pPr>
      <w:r w:rsidRPr="324F48FC" w:rsidR="1940C1DB">
        <w:rPr>
          <w:rStyle w:val="Heading3Char"/>
          <w:b w:val="1"/>
          <w:bCs w:val="1"/>
        </w:rPr>
        <w:t>Title</w:t>
      </w:r>
      <w:r w:rsidRPr="324F48FC" w:rsidR="1940C1DB">
        <w:rPr>
          <w:rStyle w:val="Heading3Char"/>
        </w:rPr>
        <w:t>:</w:t>
      </w:r>
      <w:r w:rsidRPr="324F48FC" w:rsidR="003565FC">
        <w:rPr>
          <w:rStyle w:val="Heading3Char"/>
        </w:rPr>
        <w:t xml:space="preserve"> </w:t>
      </w:r>
      <w:r w:rsidRPr="324F48FC" w:rsidR="19B3030B">
        <w:rPr>
          <w:rStyle w:val="Heading3Char"/>
          <w:rFonts w:ascii="Calibri" w:hAnsi="Calibri" w:eastAsia="Calibri" w:cs="Calibri" w:asciiTheme="minorAscii" w:hAnsiTheme="minorAscii" w:eastAsiaTheme="minorAscii" w:cstheme="minorAscii"/>
          <w:color w:val="auto"/>
          <w:sz w:val="22"/>
          <w:szCs w:val="22"/>
        </w:rPr>
        <w:t>The functional consequences of human genetic variation on response to infectious disease</w:t>
      </w:r>
    </w:p>
    <w:p w:rsidR="1940C1DB" w:rsidP="324F48FC" w:rsidRDefault="1940C1DB" w14:paraId="331B6767" w14:textId="3399B74D">
      <w:pPr>
        <w:pStyle w:val="Normal"/>
        <w:spacing w:after="160" w:line="259" w:lineRule="auto"/>
        <w:rPr>
          <w:rFonts w:ascii="Calibri" w:hAnsi="Calibri" w:eastAsia="Calibri" w:cs="Calibri"/>
          <w:noProof w:val="0"/>
          <w:sz w:val="22"/>
          <w:szCs w:val="22"/>
          <w:lang w:val="en-GB"/>
        </w:rPr>
      </w:pPr>
      <w:r w:rsidRPr="324F48FC" w:rsidR="1940C1DB">
        <w:rPr>
          <w:rStyle w:val="Heading3Char"/>
        </w:rPr>
        <w:t>Supervisors:</w:t>
      </w:r>
      <w:r w:rsidRPr="324F48FC" w:rsidR="1940C1DB">
        <w:rPr>
          <w:rFonts w:ascii="Calibri" w:hAnsi="Calibri" w:eastAsia="Calibri" w:cs="Calibri"/>
        </w:rPr>
        <w:t xml:space="preserve"> </w:t>
      </w:r>
      <w:r w:rsidRPr="324F48FC" w:rsidR="2C629415">
        <w:rPr>
          <w:rFonts w:ascii="Calibri" w:hAnsi="Calibri" w:eastAsia="Calibri" w:cs="Calibri"/>
          <w:b w:val="0"/>
          <w:bCs w:val="0"/>
          <w:i w:val="0"/>
          <w:iCs w:val="0"/>
          <w:caps w:val="0"/>
          <w:smallCaps w:val="0"/>
          <w:noProof w:val="0"/>
          <w:color w:val="000000" w:themeColor="text1" w:themeTint="FF" w:themeShade="FF"/>
          <w:sz w:val="22"/>
          <w:szCs w:val="22"/>
          <w:lang w:val="en-GB"/>
        </w:rPr>
        <w:t>Dr Alexander Mentzer, Professor Adrian Hill</w:t>
      </w:r>
    </w:p>
    <w:p w:rsidR="3B39B9A6" w:rsidP="324F48FC" w:rsidRDefault="4365F65B" w14:paraId="67993BAE" w14:textId="4C87CA79">
      <w:pPr>
        <w:rPr>
          <w:rFonts w:ascii="Calibri" w:hAnsi="Calibri" w:eastAsia="Calibri" w:cs="Calibri"/>
          <w:sz w:val="22"/>
          <w:szCs w:val="22"/>
        </w:rPr>
      </w:pPr>
      <w:r w:rsidRPr="324F48FC" w:rsidR="4365F65B">
        <w:rPr>
          <w:rStyle w:val="Heading3Char"/>
        </w:rPr>
        <w:t>Wet/d</w:t>
      </w:r>
      <w:r w:rsidRPr="324F48FC" w:rsidR="49F502F7">
        <w:rPr>
          <w:rStyle w:val="Heading3Char"/>
        </w:rPr>
        <w:t>ry</w:t>
      </w:r>
      <w:r w:rsidRPr="324F48FC" w:rsidR="5751F867">
        <w:rPr>
          <w:rStyle w:val="Heading3Char"/>
        </w:rPr>
        <w:t xml:space="preserve"> </w:t>
      </w:r>
      <w:r w:rsidRPr="324F48FC" w:rsidR="49F502F7">
        <w:rPr>
          <w:rStyle w:val="Heading3Char"/>
        </w:rPr>
        <w:t>lab mix</w:t>
      </w:r>
      <w:r w:rsidRPr="324F48FC" w:rsidR="49F502F7">
        <w:rPr>
          <w:rFonts w:ascii="Calibri" w:hAnsi="Calibri" w:eastAsia="Calibri" w:cs="Calibri"/>
        </w:rPr>
        <w:t xml:space="preserve">: </w:t>
      </w:r>
      <w:r w:rsidRPr="324F48FC" w:rsidR="6593DDAE">
        <w:rPr>
          <w:rFonts w:ascii="Calibri" w:hAnsi="Calibri" w:eastAsia="Calibri" w:cs="Calibri"/>
          <w:sz w:val="22"/>
          <w:szCs w:val="22"/>
        </w:rPr>
        <w:t>can be varied but may be 20-50</w:t>
      </w:r>
      <w:r w:rsidRPr="324F48FC" w:rsidR="49F502F7">
        <w:rPr>
          <w:rFonts w:ascii="Calibri" w:hAnsi="Calibri" w:eastAsia="Calibri" w:cs="Calibri"/>
          <w:sz w:val="22"/>
          <w:szCs w:val="22"/>
        </w:rPr>
        <w:t xml:space="preserve">% </w:t>
      </w:r>
      <w:r w:rsidRPr="324F48FC" w:rsidR="51F5D72A">
        <w:rPr>
          <w:rFonts w:ascii="Calibri" w:hAnsi="Calibri" w:eastAsia="Calibri" w:cs="Calibri"/>
          <w:sz w:val="22"/>
          <w:szCs w:val="22"/>
        </w:rPr>
        <w:t>wet</w:t>
      </w:r>
      <w:r w:rsidRPr="324F48FC" w:rsidR="1BA750E7">
        <w:rPr>
          <w:rFonts w:ascii="Calibri" w:hAnsi="Calibri" w:eastAsia="Calibri" w:cs="Calibri"/>
          <w:sz w:val="22"/>
          <w:szCs w:val="22"/>
        </w:rPr>
        <w:t xml:space="preserve"> </w:t>
      </w:r>
      <w:r w:rsidRPr="324F48FC" w:rsidR="49F502F7">
        <w:rPr>
          <w:rFonts w:ascii="Calibri" w:hAnsi="Calibri" w:eastAsia="Calibri" w:cs="Calibri"/>
          <w:sz w:val="22"/>
          <w:szCs w:val="22"/>
        </w:rPr>
        <w:t xml:space="preserve">lab, </w:t>
      </w:r>
      <w:r w:rsidRPr="324F48FC" w:rsidR="1DD22C7C">
        <w:rPr>
          <w:rFonts w:ascii="Calibri" w:hAnsi="Calibri" w:eastAsia="Calibri" w:cs="Calibri"/>
          <w:sz w:val="22"/>
          <w:szCs w:val="22"/>
        </w:rPr>
        <w:t>50-80</w:t>
      </w:r>
      <w:r w:rsidRPr="324F48FC" w:rsidR="49F502F7">
        <w:rPr>
          <w:rFonts w:ascii="Calibri" w:hAnsi="Calibri" w:eastAsia="Calibri" w:cs="Calibri"/>
          <w:sz w:val="22"/>
          <w:szCs w:val="22"/>
        </w:rPr>
        <w:t xml:space="preserve">% </w:t>
      </w:r>
      <w:r w:rsidRPr="324F48FC" w:rsidR="51F5D72A">
        <w:rPr>
          <w:rFonts w:ascii="Calibri" w:hAnsi="Calibri" w:eastAsia="Calibri" w:cs="Calibri"/>
          <w:sz w:val="22"/>
          <w:szCs w:val="22"/>
        </w:rPr>
        <w:t>dry</w:t>
      </w:r>
      <w:r w:rsidRPr="324F48FC" w:rsidR="15B34A6C">
        <w:rPr>
          <w:rFonts w:ascii="Calibri" w:hAnsi="Calibri" w:eastAsia="Calibri" w:cs="Calibri"/>
          <w:sz w:val="22"/>
          <w:szCs w:val="22"/>
        </w:rPr>
        <w:t xml:space="preserve"> </w:t>
      </w:r>
      <w:r w:rsidRPr="324F48FC" w:rsidR="49F502F7">
        <w:rPr>
          <w:rFonts w:ascii="Calibri" w:hAnsi="Calibri" w:eastAsia="Calibri" w:cs="Calibri"/>
          <w:sz w:val="22"/>
          <w:szCs w:val="22"/>
        </w:rPr>
        <w:t>lab</w:t>
      </w:r>
    </w:p>
    <w:p w:rsidR="00C777DC" w:rsidP="00C777DC" w:rsidRDefault="1940C1DB" w14:paraId="01CDB6E8" w14:textId="77777777">
      <w:pPr>
        <w:pStyle w:val="Heading3"/>
      </w:pPr>
      <w:r w:rsidR="1940C1DB">
        <w:rPr/>
        <w:t>Description</w:t>
      </w:r>
      <w:r w:rsidR="008C6A4B">
        <w:rPr/>
        <w:t>:</w:t>
      </w:r>
    </w:p>
    <w:p w:rsidR="64A0E2E2" w:rsidP="13078046" w:rsidRDefault="64A0E2E2" w14:paraId="7DBC7732" w14:textId="1F48DF9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3078046" w:rsidR="64A0E2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close collaboration with Professor Adrian Hill at the Jenner Institute and other collaborators in the </w:t>
      </w:r>
      <w:proofErr w:type="spellStart"/>
      <w:r w:rsidRPr="13078046" w:rsidR="64A0E2E2">
        <w:rPr>
          <w:rFonts w:ascii="Calibri" w:hAnsi="Calibri" w:eastAsia="Calibri" w:cs="Calibri"/>
          <w:b w:val="0"/>
          <w:bCs w:val="0"/>
          <w:i w:val="0"/>
          <w:iCs w:val="0"/>
          <w:caps w:val="0"/>
          <w:smallCaps w:val="0"/>
          <w:noProof w:val="0"/>
          <w:color w:val="000000" w:themeColor="text1" w:themeTint="FF" w:themeShade="FF"/>
          <w:sz w:val="22"/>
          <w:szCs w:val="22"/>
          <w:lang w:val="en-GB"/>
        </w:rPr>
        <w:t>Wellcome</w:t>
      </w:r>
      <w:proofErr w:type="spellEnd"/>
      <w:r w:rsidRPr="13078046" w:rsidR="64A0E2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Centre, UK Biobank and other institutes around the world we have generated multiple independent datasets looking at how human genetic diversity affects response to natural infection and vaccination. We have found that variation at multiple loci across the human genome contribute to immune responses</w:t>
      </w:r>
      <w:r w:rsidRPr="13078046" w:rsidR="3E0BD8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infectious antigens</w:t>
      </w:r>
      <w:r w:rsidRPr="13078046" w:rsidR="64A0E2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in some cases, protection against disease. </w:t>
      </w:r>
      <w:r w:rsidRPr="13078046" w:rsidR="16FCCD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 overall </w:t>
      </w:r>
      <w:r w:rsidRPr="13078046" w:rsidR="64A0E2E2">
        <w:rPr>
          <w:rFonts w:ascii="Calibri" w:hAnsi="Calibri" w:eastAsia="Calibri" w:cs="Calibri"/>
          <w:b w:val="0"/>
          <w:bCs w:val="0"/>
          <w:i w:val="0"/>
          <w:iCs w:val="0"/>
          <w:caps w:val="0"/>
          <w:smallCaps w:val="0"/>
          <w:noProof w:val="0"/>
          <w:color w:val="000000" w:themeColor="text1" w:themeTint="FF" w:themeShade="FF"/>
          <w:sz w:val="22"/>
          <w:szCs w:val="22"/>
          <w:lang w:val="en-GB"/>
        </w:rPr>
        <w:t>goal of this project is to combine these datasets to understand how much of this variation is infection- or population-specific, and then to use downstream approaches to understand the impacts of these changes to a molecular level</w:t>
      </w:r>
      <w:r w:rsidRPr="13078046" w:rsidR="1FFFB0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but there are multiple complex regions and diseases that can be studied allowing for a programme tailored to </w:t>
      </w:r>
      <w:r w:rsidRPr="13078046" w:rsidR="413D1FDE">
        <w:rPr>
          <w:rFonts w:ascii="Calibri" w:hAnsi="Calibri" w:eastAsia="Calibri" w:cs="Calibri"/>
          <w:b w:val="0"/>
          <w:bCs w:val="0"/>
          <w:i w:val="0"/>
          <w:iCs w:val="0"/>
          <w:caps w:val="0"/>
          <w:smallCaps w:val="0"/>
          <w:noProof w:val="0"/>
          <w:color w:val="000000" w:themeColor="text1" w:themeTint="FF" w:themeShade="FF"/>
          <w:sz w:val="22"/>
          <w:szCs w:val="22"/>
          <w:lang w:val="en-GB"/>
        </w:rPr>
        <w:t>any interested</w:t>
      </w:r>
      <w:r w:rsidRPr="13078046" w:rsidR="1FFFB0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student</w:t>
      </w:r>
      <w:r w:rsidRPr="13078046" w:rsidR="686AAF38">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13078046" w:rsidR="3D1DEAB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genomic regions of </w:t>
      </w:r>
      <w:r w:rsidRPr="13078046" w:rsidR="55A30D2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particular </w:t>
      </w:r>
      <w:r w:rsidRPr="13078046" w:rsidR="3D1DEAB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interest include the </w:t>
      </w:r>
      <w:r w:rsidRPr="13078046" w:rsidR="10E10D57">
        <w:rPr>
          <w:rFonts w:ascii="Calibri" w:hAnsi="Calibri" w:eastAsia="Calibri" w:cs="Calibri"/>
          <w:b w:val="0"/>
          <w:bCs w:val="0"/>
          <w:i w:val="0"/>
          <w:iCs w:val="0"/>
          <w:caps w:val="0"/>
          <w:smallCaps w:val="0"/>
          <w:noProof w:val="0"/>
          <w:color w:val="000000" w:themeColor="text1" w:themeTint="FF" w:themeShade="FF"/>
          <w:sz w:val="22"/>
          <w:szCs w:val="22"/>
          <w:lang w:val="en-GB"/>
        </w:rPr>
        <w:t>m</w:t>
      </w:r>
      <w:r w:rsidRPr="13078046" w:rsidR="09CDA4B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ajor </w:t>
      </w:r>
      <w:r w:rsidRPr="13078046" w:rsidR="3A48CFF7">
        <w:rPr>
          <w:rFonts w:ascii="Calibri" w:hAnsi="Calibri" w:eastAsia="Calibri" w:cs="Calibri"/>
          <w:b w:val="0"/>
          <w:bCs w:val="0"/>
          <w:i w:val="0"/>
          <w:iCs w:val="0"/>
          <w:caps w:val="0"/>
          <w:smallCaps w:val="0"/>
          <w:noProof w:val="0"/>
          <w:color w:val="000000" w:themeColor="text1" w:themeTint="FF" w:themeShade="FF"/>
          <w:sz w:val="22"/>
          <w:szCs w:val="22"/>
          <w:lang w:val="en-GB"/>
        </w:rPr>
        <w:t>h</w:t>
      </w:r>
      <w:r w:rsidRPr="13078046" w:rsidR="7969250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istocompatibility </w:t>
      </w:r>
      <w:r w:rsidRPr="13078046" w:rsidR="3CD6617E">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3078046" w:rsidR="4DE2D8A5">
        <w:rPr>
          <w:rFonts w:ascii="Calibri" w:hAnsi="Calibri" w:eastAsia="Calibri" w:cs="Calibri"/>
          <w:b w:val="0"/>
          <w:bCs w:val="0"/>
          <w:i w:val="0"/>
          <w:iCs w:val="0"/>
          <w:caps w:val="0"/>
          <w:smallCaps w:val="0"/>
          <w:noProof w:val="0"/>
          <w:color w:val="000000" w:themeColor="text1" w:themeTint="FF" w:themeShade="FF"/>
          <w:sz w:val="22"/>
          <w:szCs w:val="22"/>
          <w:lang w:val="en-GB"/>
        </w:rPr>
        <w:t>omplex</w:t>
      </w:r>
      <w:r w:rsidRPr="13078046" w:rsidR="3D1DEAB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3078046" w:rsidR="3EBD1D33">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3078046" w:rsidR="3D1DEAB0">
        <w:rPr>
          <w:rFonts w:ascii="Calibri" w:hAnsi="Calibri" w:eastAsia="Calibri" w:cs="Calibri"/>
          <w:b w:val="0"/>
          <w:bCs w:val="0"/>
          <w:i w:val="0"/>
          <w:iCs w:val="0"/>
          <w:caps w:val="0"/>
          <w:smallCaps w:val="0"/>
          <w:noProof w:val="0"/>
          <w:color w:val="000000" w:themeColor="text1" w:themeTint="FF" w:themeShade="FF"/>
          <w:sz w:val="22"/>
          <w:szCs w:val="22"/>
          <w:lang w:val="en-GB"/>
        </w:rPr>
        <w:t>mmunoglobulin loci</w:t>
      </w:r>
      <w:r w:rsidRPr="13078046" w:rsidR="3C4DB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diseases including viral infections (such as herpes, hepatitis, HIV and coronavirus) and bacterial disease</w:t>
      </w:r>
      <w:r w:rsidRPr="13078046" w:rsidR="0E50B9EA">
        <w:rPr>
          <w:rFonts w:ascii="Calibri" w:hAnsi="Calibri" w:eastAsia="Calibri" w:cs="Calibri"/>
          <w:b w:val="0"/>
          <w:bCs w:val="0"/>
          <w:i w:val="0"/>
          <w:iCs w:val="0"/>
          <w:caps w:val="0"/>
          <w:smallCaps w:val="0"/>
          <w:noProof w:val="0"/>
          <w:color w:val="000000" w:themeColor="text1" w:themeTint="FF" w:themeShade="FF"/>
          <w:sz w:val="22"/>
          <w:szCs w:val="22"/>
          <w:lang w:val="en-GB"/>
        </w:rPr>
        <w:t>s that</w:t>
      </w:r>
      <w:r w:rsidRPr="13078046" w:rsidR="3C4DB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3078046" w:rsidR="1B47408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may </w:t>
      </w:r>
      <w:r w:rsidRPr="13078046" w:rsidR="3C4DB668">
        <w:rPr>
          <w:rFonts w:ascii="Calibri" w:hAnsi="Calibri" w:eastAsia="Calibri" w:cs="Calibri"/>
          <w:b w:val="0"/>
          <w:bCs w:val="0"/>
          <w:i w:val="0"/>
          <w:iCs w:val="0"/>
          <w:caps w:val="0"/>
          <w:smallCaps w:val="0"/>
          <w:noProof w:val="0"/>
          <w:color w:val="000000" w:themeColor="text1" w:themeTint="FF" w:themeShade="FF"/>
          <w:sz w:val="22"/>
          <w:szCs w:val="22"/>
          <w:lang w:val="en-GB"/>
        </w:rPr>
        <w:t>caus</w:t>
      </w:r>
      <w:r w:rsidRPr="13078046" w:rsidR="18CF5048">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3078046" w:rsidR="3C4DB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sepsis</w:t>
      </w:r>
      <w:r w:rsidRPr="13078046" w:rsidR="64A0E2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1C15200" w:rsidP="13078046" w:rsidRDefault="41C15200" w14:paraId="735F4258" w14:textId="746AAD5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3078046" w:rsidR="41C15200">
        <w:rPr>
          <w:rFonts w:ascii="Calibri" w:hAnsi="Calibri" w:eastAsia="Calibri" w:cs="Calibri"/>
          <w:b w:val="0"/>
          <w:bCs w:val="0"/>
          <w:i w:val="0"/>
          <w:iCs w:val="0"/>
          <w:caps w:val="0"/>
          <w:smallCaps w:val="0"/>
          <w:noProof w:val="0"/>
          <w:color w:val="000000" w:themeColor="text1" w:themeTint="FF" w:themeShade="FF"/>
          <w:sz w:val="22"/>
          <w:szCs w:val="22"/>
          <w:lang w:val="en-GB"/>
        </w:rPr>
        <w:t>Any sub-</w:t>
      </w:r>
      <w:r w:rsidRPr="13078046" w:rsidR="64A0E2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project </w:t>
      </w:r>
      <w:r w:rsidRPr="13078046" w:rsidR="3D800CF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this proposal would be </w:t>
      </w:r>
      <w:r w:rsidRPr="13078046" w:rsidR="64A0E2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designed in 2 stages; the first being a meta-analysis of </w:t>
      </w:r>
      <w:r w:rsidRPr="13078046" w:rsidR="2113C49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relevant </w:t>
      </w:r>
      <w:r w:rsidRPr="13078046" w:rsidR="64A0E2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datasets central to the core objectives of the Mentzer group, and the second phase being an opportunity to follow up these findings using a combination of approaches dependent on the earlier findings. The first stage would be well suited to a laboratory rotation giving an excellent introduction to computational or dry lab skills whereas both could form the basis of a 3-year doctoral project giving the opportunity for a combined dry and wet-lab experience. </w:t>
      </w:r>
      <w:r w:rsidRPr="13078046" w:rsidR="50CAACF1">
        <w:rPr>
          <w:rFonts w:ascii="Calibri" w:hAnsi="Calibri" w:eastAsia="Calibri" w:cs="Calibri"/>
          <w:b w:val="0"/>
          <w:bCs w:val="0"/>
          <w:i w:val="0"/>
          <w:iCs w:val="0"/>
          <w:caps w:val="0"/>
          <w:smallCaps w:val="0"/>
          <w:noProof w:val="0"/>
          <w:color w:val="000000" w:themeColor="text1" w:themeTint="FF" w:themeShade="FF"/>
          <w:sz w:val="22"/>
          <w:szCs w:val="22"/>
          <w:lang w:val="en-GB"/>
        </w:rPr>
        <w:t>At the time of writing, specific sub-projects include fine-mapping a</w:t>
      </w:r>
      <w:r w:rsidRPr="13078046" w:rsidR="528250BD">
        <w:rPr>
          <w:rFonts w:ascii="Calibri" w:hAnsi="Calibri" w:eastAsia="Calibri" w:cs="Calibri"/>
          <w:b w:val="0"/>
          <w:bCs w:val="0"/>
          <w:i w:val="0"/>
          <w:iCs w:val="0"/>
          <w:caps w:val="0"/>
          <w:smallCaps w:val="0"/>
          <w:noProof w:val="0"/>
          <w:color w:val="000000" w:themeColor="text1" w:themeTint="FF" w:themeShade="FF"/>
          <w:sz w:val="22"/>
          <w:szCs w:val="22"/>
          <w:lang w:val="en-GB"/>
        </w:rPr>
        <w:t>nd molecular characterisation of</w:t>
      </w:r>
      <w:r w:rsidRPr="13078046" w:rsidR="50CAAC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MHC association signals </w:t>
      </w:r>
      <w:r w:rsidRPr="13078046" w:rsidR="6C4C49C5">
        <w:rPr>
          <w:rFonts w:ascii="Calibri" w:hAnsi="Calibri" w:eastAsia="Calibri" w:cs="Calibri"/>
          <w:b w:val="0"/>
          <w:bCs w:val="0"/>
          <w:i w:val="0"/>
          <w:iCs w:val="0"/>
          <w:caps w:val="0"/>
          <w:smallCaps w:val="0"/>
          <w:noProof w:val="0"/>
          <w:color w:val="000000" w:themeColor="text1" w:themeTint="FF" w:themeShade="FF"/>
          <w:sz w:val="22"/>
          <w:szCs w:val="22"/>
          <w:lang w:val="en-GB"/>
        </w:rPr>
        <w:t>with</w:t>
      </w:r>
      <w:r w:rsidRPr="13078046" w:rsidR="50CAAC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multiple infectio</w:t>
      </w:r>
      <w:r w:rsidRPr="13078046" w:rsidR="7664835A">
        <w:rPr>
          <w:rFonts w:ascii="Calibri" w:hAnsi="Calibri" w:eastAsia="Calibri" w:cs="Calibri"/>
          <w:b w:val="0"/>
          <w:bCs w:val="0"/>
          <w:i w:val="0"/>
          <w:iCs w:val="0"/>
          <w:caps w:val="0"/>
          <w:smallCaps w:val="0"/>
          <w:noProof w:val="0"/>
          <w:color w:val="000000" w:themeColor="text1" w:themeTint="FF" w:themeShade="FF"/>
          <w:sz w:val="22"/>
          <w:szCs w:val="22"/>
          <w:lang w:val="en-GB"/>
        </w:rPr>
        <w:t>ns, long-range sequencing characterisation and mapping of RNA-</w:t>
      </w:r>
      <w:proofErr w:type="spellStart"/>
      <w:r w:rsidRPr="13078046" w:rsidR="7664835A">
        <w:rPr>
          <w:rFonts w:ascii="Calibri" w:hAnsi="Calibri" w:eastAsia="Calibri" w:cs="Calibri"/>
          <w:b w:val="0"/>
          <w:bCs w:val="0"/>
          <w:i w:val="0"/>
          <w:iCs w:val="0"/>
          <w:caps w:val="0"/>
          <w:smallCaps w:val="0"/>
          <w:noProof w:val="0"/>
          <w:color w:val="000000" w:themeColor="text1" w:themeTint="FF" w:themeShade="FF"/>
          <w:sz w:val="22"/>
          <w:szCs w:val="22"/>
          <w:lang w:val="en-GB"/>
        </w:rPr>
        <w:t>Seq</w:t>
      </w:r>
      <w:proofErr w:type="spellEnd"/>
      <w:r w:rsidRPr="13078046" w:rsidR="766483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reads for Immunoglobulin loci</w:t>
      </w:r>
      <w:r w:rsidRPr="13078046" w:rsidR="6A131223">
        <w:rPr>
          <w:rFonts w:ascii="Calibri" w:hAnsi="Calibri" w:eastAsia="Calibri" w:cs="Calibri"/>
          <w:b w:val="0"/>
          <w:bCs w:val="0"/>
          <w:i w:val="0"/>
          <w:iCs w:val="0"/>
          <w:caps w:val="0"/>
          <w:smallCaps w:val="0"/>
          <w:noProof w:val="0"/>
          <w:color w:val="000000" w:themeColor="text1" w:themeTint="FF" w:themeShade="FF"/>
          <w:sz w:val="22"/>
          <w:szCs w:val="22"/>
          <w:lang w:val="en-GB"/>
        </w:rPr>
        <w:t>, and metagenomic approaches for pathogen detection in whole blood RNA.</w:t>
      </w:r>
      <w:r w:rsidRPr="13078046" w:rsidR="50CAAC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3078046" w:rsidR="64A0E2E2">
        <w:rPr>
          <w:rFonts w:ascii="Calibri" w:hAnsi="Calibri" w:eastAsia="Calibri" w:cs="Calibri"/>
          <w:b w:val="0"/>
          <w:bCs w:val="0"/>
          <w:i w:val="0"/>
          <w:iCs w:val="0"/>
          <w:caps w:val="0"/>
          <w:smallCaps w:val="0"/>
          <w:noProof w:val="0"/>
          <w:color w:val="000000" w:themeColor="text1" w:themeTint="FF" w:themeShade="FF"/>
          <w:sz w:val="22"/>
          <w:szCs w:val="22"/>
          <w:lang w:val="en-GB"/>
        </w:rPr>
        <w:t>There may also be increasing opportunities to look at the effects of human genetics on responses to novel agents of interest such as SARS-Co</w:t>
      </w:r>
      <w:r w:rsidRPr="13078046" w:rsidR="08D90FB0">
        <w:rPr>
          <w:rFonts w:ascii="Calibri" w:hAnsi="Calibri" w:eastAsia="Calibri" w:cs="Calibri"/>
          <w:b w:val="0"/>
          <w:bCs w:val="0"/>
          <w:i w:val="0"/>
          <w:iCs w:val="0"/>
          <w:caps w:val="0"/>
          <w:smallCaps w:val="0"/>
          <w:noProof w:val="0"/>
          <w:color w:val="000000" w:themeColor="text1" w:themeTint="FF" w:themeShade="FF"/>
          <w:sz w:val="22"/>
          <w:szCs w:val="22"/>
          <w:lang w:val="en-GB"/>
        </w:rPr>
        <w:t>V</w:t>
      </w:r>
      <w:r w:rsidRPr="13078046" w:rsidR="64A0E2E2">
        <w:rPr>
          <w:rFonts w:ascii="Calibri" w:hAnsi="Calibri" w:eastAsia="Calibri" w:cs="Calibri"/>
          <w:b w:val="0"/>
          <w:bCs w:val="0"/>
          <w:i w:val="0"/>
          <w:iCs w:val="0"/>
          <w:caps w:val="0"/>
          <w:smallCaps w:val="0"/>
          <w:noProof w:val="0"/>
          <w:color w:val="000000" w:themeColor="text1" w:themeTint="FF" w:themeShade="FF"/>
          <w:sz w:val="22"/>
          <w:szCs w:val="22"/>
          <w:lang w:val="en-GB"/>
        </w:rPr>
        <w:t>-2, the cause of COVID-19.</w:t>
      </w:r>
      <w:r w:rsidRPr="13078046" w:rsidR="37EC0B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Our group has a strong emphasis on tailoring the project to the individual and supporting the individual to achieve outstanding scientific output.</w:t>
      </w:r>
    </w:p>
    <w:p w:rsidR="1940C1DB" w:rsidP="7FB932B3" w:rsidRDefault="1940C1DB" w14:paraId="05006781" w14:textId="3AAC1F69">
      <w:pPr>
        <w:pStyle w:val="Heading3"/>
        <w:rPr>
          <w:rFonts w:ascii="Calibri Light" w:hAnsi="Calibri Light"/>
          <w:color w:val="1F3763"/>
        </w:rPr>
      </w:pPr>
      <w:r w:rsidR="1940C1DB">
        <w:rPr/>
        <w:t>Training Opportunities</w:t>
      </w:r>
      <w:r w:rsidR="008C6A4B">
        <w:rPr/>
        <w:t>:</w:t>
      </w:r>
    </w:p>
    <w:p w:rsidR="5A20E714" w:rsidP="324F48FC" w:rsidRDefault="5A20E714" w14:paraId="25C785E6" w14:textId="332E7008">
      <w:pPr>
        <w:spacing w:after="160" w:line="259" w:lineRule="auto"/>
      </w:pPr>
      <w:r w:rsidRPr="324F48FC" w:rsidR="5A20E7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project is designed to give an excellent introduction to computer science with rapid availability of datasets and tailored pipelines for data integration and analysis under close supervision that would provide necessary skills for interpretation and hypothesis testing. There is flexibility in the project and connections with multiple labs within the University to enable a diverse and complete follow-up of findings tailored to the interests of the candidate that can provide exposure and comprehensive training in molecular biology, immunology and functional genomics using experimental analysis or direct wet-lab exposure to methods such as flow cytometry, antigen peptide processing, binding and presentation, gene expression analysis, ELISA and other immunoassays. There will be regular opportunities to present work to laboratory colleagues and internationally at conferences and meetings. </w:t>
      </w:r>
      <w:r w:rsidRPr="324F48FC" w:rsidR="5A20E714">
        <w:rPr>
          <w:rFonts w:ascii="Calibri" w:hAnsi="Calibri" w:eastAsia="Calibri" w:cs="Calibri"/>
          <w:noProof w:val="0"/>
          <w:sz w:val="22"/>
          <w:szCs w:val="22"/>
          <w:lang w:val="en-GB"/>
        </w:rPr>
        <w:t xml:space="preserve"> </w:t>
      </w:r>
    </w:p>
    <w:p w:rsidR="1940C1DB" w:rsidP="7FB932B3" w:rsidRDefault="1940C1DB" w14:paraId="078FB80D" w14:textId="01621EA4">
      <w:pPr>
        <w:pStyle w:val="Heading3"/>
        <w:rPr>
          <w:rFonts w:ascii="Calibri Light" w:hAnsi="Calibri Light"/>
          <w:color w:val="1F3763"/>
        </w:rPr>
      </w:pPr>
      <w:r w:rsidR="1940C1DB">
        <w:rPr/>
        <w:t>Background reading</w:t>
      </w:r>
      <w:r w:rsidR="22D386E4">
        <w:rPr/>
        <w:t xml:space="preserve"> / references</w:t>
      </w:r>
      <w:r w:rsidR="00C777DC">
        <w:rPr/>
        <w:t>:</w:t>
      </w:r>
    </w:p>
    <w:p w:rsidR="2AF12B2E" w:rsidP="13078046" w:rsidRDefault="2AF12B2E" w14:paraId="1FE9C93D" w14:textId="2B28201F">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13078046" w:rsidR="228F6A7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Mentzer AJ*, Brenner N* et al </w:t>
      </w:r>
      <w:r w:rsidRPr="13078046" w:rsidR="228F6A7B">
        <w:rPr>
          <w:rFonts w:ascii="Calibri" w:hAnsi="Calibri" w:eastAsia="Calibri" w:cs="Calibri"/>
          <w:b w:val="1"/>
          <w:bCs w:val="1"/>
          <w:i w:val="0"/>
          <w:iCs w:val="0"/>
          <w:caps w:val="0"/>
          <w:smallCaps w:val="0"/>
          <w:noProof w:val="0"/>
          <w:color w:val="000000" w:themeColor="text1" w:themeTint="FF" w:themeShade="FF"/>
          <w:sz w:val="22"/>
          <w:szCs w:val="22"/>
          <w:lang w:val="en-GB"/>
        </w:rPr>
        <w:t>2022</w:t>
      </w:r>
      <w:r w:rsidRPr="13078046" w:rsidR="228F6A7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scalable 20-agent Multiplex Serology platform applied to UK Biobank to define host-pathogen-environment relationships and disease susceptibility; Nature Communications; </w:t>
      </w:r>
      <w:hyperlink r:id="R5d107e48323e4d13">
        <w:r w:rsidRPr="13078046" w:rsidR="228F6A7B">
          <w:rPr>
            <w:rStyle w:val="Hyperlink"/>
            <w:rFonts w:ascii="Calibri" w:hAnsi="Calibri" w:eastAsia="Calibri" w:cs="Calibri"/>
            <w:b w:val="0"/>
            <w:bCs w:val="0"/>
            <w:i w:val="0"/>
            <w:iCs w:val="0"/>
            <w:caps w:val="0"/>
            <w:smallCaps w:val="0"/>
            <w:noProof w:val="0"/>
            <w:sz w:val="22"/>
            <w:szCs w:val="22"/>
            <w:lang w:val="en-GB"/>
          </w:rPr>
          <w:t>https://www.ncbi.nlm.nih.gov/pmc/articles/PMC8983701/</w:t>
        </w:r>
      </w:hyperlink>
      <w:r w:rsidRPr="13078046" w:rsidR="228F6A7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AF12B2E" w:rsidP="13078046" w:rsidRDefault="2AF12B2E" w14:paraId="49E3AEA4" w14:textId="20D4152F">
      <w:pPr>
        <w:pStyle w:val="ListParagraph"/>
        <w:numPr>
          <w:ilvl w:val="0"/>
          <w:numId w:val="4"/>
        </w:numPr>
        <w:rPr>
          <w:noProof w:val="0"/>
          <w:lang w:val="en-GB"/>
        </w:rPr>
      </w:pPr>
      <w:r w:rsidRPr="13078046" w:rsidR="2AF12B2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COMBAT Consortium </w:t>
      </w:r>
      <w:r w:rsidRPr="13078046" w:rsidR="2AF12B2E">
        <w:rPr>
          <w:rFonts w:ascii="Calibri" w:hAnsi="Calibri" w:eastAsia="Calibri" w:cs="Calibri"/>
          <w:b w:val="1"/>
          <w:bCs w:val="1"/>
          <w:i w:val="0"/>
          <w:iCs w:val="0"/>
          <w:caps w:val="0"/>
          <w:smallCaps w:val="0"/>
          <w:noProof w:val="0"/>
          <w:color w:val="000000" w:themeColor="text1" w:themeTint="FF" w:themeShade="FF"/>
          <w:sz w:val="22"/>
          <w:szCs w:val="22"/>
          <w:lang w:val="en-GB"/>
        </w:rPr>
        <w:t>202</w:t>
      </w:r>
      <w:r w:rsidRPr="13078046" w:rsidR="6D7D4A52">
        <w:rPr>
          <w:rFonts w:ascii="Calibri" w:hAnsi="Calibri" w:eastAsia="Calibri" w:cs="Calibri"/>
          <w:b w:val="1"/>
          <w:bCs w:val="1"/>
          <w:i w:val="0"/>
          <w:iCs w:val="0"/>
          <w:caps w:val="0"/>
          <w:smallCaps w:val="0"/>
          <w:noProof w:val="0"/>
          <w:color w:val="000000" w:themeColor="text1" w:themeTint="FF" w:themeShade="FF"/>
          <w:sz w:val="22"/>
          <w:szCs w:val="22"/>
          <w:lang w:val="en-GB"/>
        </w:rPr>
        <w:t>2</w:t>
      </w:r>
      <w:r w:rsidRPr="13078046" w:rsidR="2AF12B2E">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3078046" w:rsidR="2AF12B2E">
        <w:rPr>
          <w:noProof w:val="0"/>
          <w:lang w:val="en-GB"/>
        </w:rPr>
        <w:t xml:space="preserve"> A blood atlas of COVID-19 defines hallmarks of disease severity and specificity; </w:t>
      </w:r>
      <w:r w:rsidRPr="13078046" w:rsidR="06D734C7">
        <w:rPr>
          <w:noProof w:val="0"/>
          <w:lang w:val="en-GB"/>
        </w:rPr>
        <w:t xml:space="preserve">Cell </w:t>
      </w:r>
      <w:hyperlink r:id="Rb2111c9f20404632">
        <w:r w:rsidRPr="13078046" w:rsidR="40F36BA0">
          <w:rPr>
            <w:rStyle w:val="Hyperlink"/>
            <w:noProof w:val="0"/>
            <w:lang w:val="en-GB"/>
          </w:rPr>
          <w:t>https://www.ncbi.nlm.nih.gov/pmc/articles/PMC8776501/</w:t>
        </w:r>
      </w:hyperlink>
      <w:r w:rsidRPr="13078046" w:rsidR="40F36BA0">
        <w:rPr>
          <w:noProof w:val="0"/>
          <w:lang w:val="en-GB"/>
        </w:rPr>
        <w:t xml:space="preserve"> </w:t>
      </w:r>
    </w:p>
    <w:p w:rsidR="2E1D59D3" w:rsidP="324F48FC" w:rsidRDefault="2E1D59D3" w14:paraId="2268EDB7" w14:textId="601AE25F">
      <w:pPr>
        <w:pStyle w:val="ListParagraph"/>
        <w:numPr>
          <w:ilvl w:val="0"/>
          <w:numId w:val="4"/>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24F48FC" w:rsidR="2E1D59D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Antibody evasion by the P. 1 strain of SARS-CoV-2; </w:t>
      </w:r>
      <w:proofErr w:type="spellStart"/>
      <w:r w:rsidRPr="324F48FC" w:rsidR="2E1D59D3">
        <w:rPr>
          <w:rFonts w:ascii="Calibri" w:hAnsi="Calibri" w:eastAsia="Calibri" w:cs="Calibri"/>
          <w:b w:val="0"/>
          <w:bCs w:val="0"/>
          <w:i w:val="0"/>
          <w:iCs w:val="0"/>
          <w:caps w:val="0"/>
          <w:smallCaps w:val="0"/>
          <w:noProof w:val="0"/>
          <w:color w:val="000000" w:themeColor="text1" w:themeTint="FF" w:themeShade="FF"/>
          <w:sz w:val="22"/>
          <w:szCs w:val="22"/>
          <w:lang w:val="en-GB"/>
        </w:rPr>
        <w:t>Dejnirattisai</w:t>
      </w:r>
      <w:proofErr w:type="spellEnd"/>
      <w:r w:rsidRPr="324F48FC" w:rsidR="2E1D59D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 Zhou D*, </w:t>
      </w:r>
      <w:proofErr w:type="spellStart"/>
      <w:r w:rsidRPr="324F48FC" w:rsidR="2E1D59D3">
        <w:rPr>
          <w:rFonts w:ascii="Calibri" w:hAnsi="Calibri" w:eastAsia="Calibri" w:cs="Calibri"/>
          <w:b w:val="0"/>
          <w:bCs w:val="0"/>
          <w:i w:val="0"/>
          <w:iCs w:val="0"/>
          <w:caps w:val="0"/>
          <w:smallCaps w:val="0"/>
          <w:noProof w:val="0"/>
          <w:color w:val="000000" w:themeColor="text1" w:themeTint="FF" w:themeShade="FF"/>
          <w:sz w:val="22"/>
          <w:szCs w:val="22"/>
          <w:lang w:val="en-GB"/>
        </w:rPr>
        <w:t>Supasa</w:t>
      </w:r>
      <w:proofErr w:type="spellEnd"/>
      <w:r w:rsidRPr="324F48FC" w:rsidR="2E1D59D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 Liu C*, Mentzer AJ* et al </w:t>
      </w:r>
      <w:r w:rsidRPr="324F48FC" w:rsidR="2E1D59D3">
        <w:rPr>
          <w:rFonts w:ascii="Calibri" w:hAnsi="Calibri" w:eastAsia="Calibri" w:cs="Calibri"/>
          <w:b w:val="1"/>
          <w:bCs w:val="1"/>
          <w:i w:val="0"/>
          <w:iCs w:val="0"/>
          <w:caps w:val="0"/>
          <w:smallCaps w:val="0"/>
          <w:noProof w:val="0"/>
          <w:color w:val="000000" w:themeColor="text1" w:themeTint="FF" w:themeShade="FF"/>
          <w:sz w:val="22"/>
          <w:szCs w:val="22"/>
          <w:lang w:val="en-GB"/>
        </w:rPr>
        <w:t>2021</w:t>
      </w:r>
      <w:r w:rsidRPr="324F48FC" w:rsidR="2E1D59D3">
        <w:rPr>
          <w:rFonts w:ascii="Calibri" w:hAnsi="Calibri" w:eastAsia="Calibri" w:cs="Calibri"/>
          <w:b w:val="0"/>
          <w:bCs w:val="0"/>
          <w:i w:val="0"/>
          <w:iCs w:val="0"/>
          <w:caps w:val="0"/>
          <w:smallCaps w:val="0"/>
          <w:noProof w:val="0"/>
          <w:color w:val="000000" w:themeColor="text1" w:themeTint="FF" w:themeShade="FF"/>
          <w:sz w:val="22"/>
          <w:szCs w:val="22"/>
          <w:lang w:val="en-GB"/>
        </w:rPr>
        <w:t>; Cell. 184 (11) 2939</w:t>
      </w:r>
    </w:p>
    <w:p w:rsidR="2E1D59D3" w:rsidP="324F48FC" w:rsidRDefault="2E1D59D3" w14:paraId="33E71F1F" w14:textId="5992D892">
      <w:pPr>
        <w:pStyle w:val="ListParagraph"/>
        <w:numPr>
          <w:ilvl w:val="0"/>
          <w:numId w:val="4"/>
        </w:numPr>
        <w:rPr>
          <w:rFonts w:ascii="Calibri" w:hAnsi="Calibri" w:eastAsia="Calibri" w:cs="Calibri" w:asciiTheme="minorAscii" w:hAnsiTheme="minorAscii" w:eastAsiaTheme="minorAscii" w:cstheme="minorAscii"/>
          <w:sz w:val="22"/>
          <w:szCs w:val="22"/>
        </w:rPr>
      </w:pPr>
      <w:r w:rsidR="2E1D59D3">
        <w:rPr/>
        <w:t xml:space="preserve">Broad and strong memory CD4+ and CD8+ T cells induced by SARS-CoV-2 in UK convalescent COVID-19 patients </w:t>
      </w:r>
      <w:r w:rsidRPr="13078046" w:rsidR="2E1D59D3">
        <w:rPr>
          <w:b w:val="1"/>
          <w:bCs w:val="1"/>
        </w:rPr>
        <w:t>2020</w:t>
      </w:r>
      <w:r w:rsidR="2E1D59D3">
        <w:rPr/>
        <w:t xml:space="preserve">; Peng Y*, Mentzer AJ*, Liu G*, Yao Z*, </w:t>
      </w:r>
      <w:r w:rsidR="2E1D59D3">
        <w:rPr/>
        <w:t>Dejnirattisai</w:t>
      </w:r>
      <w:r w:rsidR="2E1D59D3">
        <w:rPr/>
        <w:t xml:space="preserve"> W* et al; Nat. Imm 21, 1336 (2020)</w:t>
      </w:r>
    </w:p>
    <w:p w:rsidR="2AF12B2E" w:rsidP="324F48FC" w:rsidRDefault="2AF12B2E" w14:paraId="30D57C22" w14:textId="3D1A70FE">
      <w:pPr>
        <w:pStyle w:val="ListParagraph"/>
        <w:numPr>
          <w:ilvl w:val="0"/>
          <w:numId w:val="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24F48FC" w:rsidR="2AF12B2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Mentzer AJ*, Muruiki JJ*, Band G, et al. </w:t>
      </w:r>
      <w:r w:rsidRPr="324F48FC" w:rsidR="2AF12B2E">
        <w:rPr>
          <w:rFonts w:ascii="Calibri" w:hAnsi="Calibri" w:eastAsia="Calibri" w:cs="Calibri"/>
          <w:b w:val="1"/>
          <w:bCs w:val="1"/>
          <w:i w:val="0"/>
          <w:iCs w:val="0"/>
          <w:caps w:val="0"/>
          <w:smallCaps w:val="0"/>
          <w:noProof w:val="0"/>
          <w:color w:val="000000" w:themeColor="text1" w:themeTint="FF" w:themeShade="FF"/>
          <w:sz w:val="22"/>
          <w:szCs w:val="22"/>
          <w:lang w:val="en-GB"/>
        </w:rPr>
        <w:t>2019</w:t>
      </w:r>
      <w:r w:rsidRPr="324F48FC" w:rsidR="2AF12B2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proofErr w:type="spellStart"/>
      <w:r w:rsidRPr="324F48FC" w:rsidR="2AF12B2E">
        <w:rPr>
          <w:rFonts w:ascii="Calibri" w:hAnsi="Calibri" w:eastAsia="Calibri" w:cs="Calibri"/>
          <w:b w:val="0"/>
          <w:bCs w:val="0"/>
          <w:i w:val="0"/>
          <w:iCs w:val="0"/>
          <w:caps w:val="0"/>
          <w:smallCaps w:val="0"/>
          <w:noProof w:val="0"/>
          <w:color w:val="000000" w:themeColor="text1" w:themeTint="FF" w:themeShade="FF"/>
          <w:sz w:val="22"/>
          <w:szCs w:val="22"/>
          <w:lang w:val="en-GB"/>
        </w:rPr>
        <w:t>ferroportin</w:t>
      </w:r>
      <w:proofErr w:type="spellEnd"/>
      <w:r w:rsidRPr="324F48FC" w:rsidR="2AF12B2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Q248H mutation protects from </w:t>
      </w:r>
      <w:proofErr w:type="spellStart"/>
      <w:r w:rsidRPr="324F48FC" w:rsidR="2AF12B2E">
        <w:rPr>
          <w:rFonts w:ascii="Calibri" w:hAnsi="Calibri" w:eastAsia="Calibri" w:cs="Calibri"/>
          <w:b w:val="0"/>
          <w:bCs w:val="0"/>
          <w:i w:val="0"/>
          <w:iCs w:val="0"/>
          <w:caps w:val="0"/>
          <w:smallCaps w:val="0"/>
          <w:noProof w:val="0"/>
          <w:color w:val="000000" w:themeColor="text1" w:themeTint="FF" w:themeShade="FF"/>
          <w:sz w:val="22"/>
          <w:szCs w:val="22"/>
          <w:lang w:val="en-GB"/>
        </w:rPr>
        <w:t>anemia</w:t>
      </w:r>
      <w:proofErr w:type="spellEnd"/>
      <w:r w:rsidRPr="324F48FC" w:rsidR="2AF12B2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but not malaria or </w:t>
      </w:r>
      <w:proofErr w:type="spellStart"/>
      <w:r w:rsidRPr="324F48FC" w:rsidR="2AF12B2E">
        <w:rPr>
          <w:rFonts w:ascii="Calibri" w:hAnsi="Calibri" w:eastAsia="Calibri" w:cs="Calibri"/>
          <w:b w:val="0"/>
          <w:bCs w:val="0"/>
          <w:i w:val="0"/>
          <w:iCs w:val="0"/>
          <w:caps w:val="0"/>
          <w:smallCaps w:val="0"/>
          <w:noProof w:val="0"/>
          <w:color w:val="000000" w:themeColor="text1" w:themeTint="FF" w:themeShade="FF"/>
          <w:sz w:val="22"/>
          <w:szCs w:val="22"/>
          <w:lang w:val="en-GB"/>
        </w:rPr>
        <w:t>bacteremia</w:t>
      </w:r>
      <w:proofErr w:type="spellEnd"/>
      <w:r w:rsidRPr="324F48FC" w:rsidR="2AF12B2E">
        <w:rPr>
          <w:rFonts w:ascii="Calibri" w:hAnsi="Calibri" w:eastAsia="Calibri" w:cs="Calibri"/>
          <w:b w:val="0"/>
          <w:bCs w:val="0"/>
          <w:i w:val="0"/>
          <w:iCs w:val="0"/>
          <w:caps w:val="0"/>
          <w:smallCaps w:val="0"/>
          <w:noProof w:val="0"/>
          <w:color w:val="000000" w:themeColor="text1" w:themeTint="FF" w:themeShade="FF"/>
          <w:sz w:val="22"/>
          <w:szCs w:val="22"/>
          <w:lang w:val="en-GB"/>
        </w:rPr>
        <w:t>; Science Advances; 4;5(9</w:t>
      </w:r>
      <w:proofErr w:type="gramStart"/>
      <w:r w:rsidRPr="324F48FC" w:rsidR="2AF12B2E">
        <w:rPr>
          <w:rFonts w:ascii="Calibri" w:hAnsi="Calibri" w:eastAsia="Calibri" w:cs="Calibri"/>
          <w:b w:val="0"/>
          <w:bCs w:val="0"/>
          <w:i w:val="0"/>
          <w:iCs w:val="0"/>
          <w:caps w:val="0"/>
          <w:smallCaps w:val="0"/>
          <w:noProof w:val="0"/>
          <w:color w:val="000000" w:themeColor="text1" w:themeTint="FF" w:themeShade="FF"/>
          <w:sz w:val="22"/>
          <w:szCs w:val="22"/>
          <w:lang w:val="en-GB"/>
        </w:rPr>
        <w:t>):eaaw</w:t>
      </w:r>
      <w:proofErr w:type="gramEnd"/>
      <w:r w:rsidRPr="324F48FC" w:rsidR="2AF12B2E">
        <w:rPr>
          <w:rFonts w:ascii="Calibri" w:hAnsi="Calibri" w:eastAsia="Calibri" w:cs="Calibri"/>
          <w:b w:val="0"/>
          <w:bCs w:val="0"/>
          <w:i w:val="0"/>
          <w:iCs w:val="0"/>
          <w:caps w:val="0"/>
          <w:smallCaps w:val="0"/>
          <w:noProof w:val="0"/>
          <w:color w:val="000000" w:themeColor="text1" w:themeTint="FF" w:themeShade="FF"/>
          <w:sz w:val="22"/>
          <w:szCs w:val="22"/>
          <w:lang w:val="en-GB"/>
        </w:rPr>
        <w:t>010</w:t>
      </w:r>
    </w:p>
    <w:p w:rsidR="2AF12B2E" w:rsidP="324F48FC" w:rsidRDefault="2AF12B2E" w14:paraId="40CED8FC" w14:textId="67BC2CBD">
      <w:pPr>
        <w:pStyle w:val="ListParagraph"/>
        <w:numPr>
          <w:ilvl w:val="0"/>
          <w:numId w:val="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24F48FC" w:rsidR="2AF12B2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Dilthey AT, Mentzer AJ, Carapito R et al. </w:t>
      </w:r>
      <w:r w:rsidRPr="324F48FC" w:rsidR="2AF12B2E">
        <w:rPr>
          <w:rFonts w:ascii="Calibri" w:hAnsi="Calibri" w:eastAsia="Calibri" w:cs="Calibri"/>
          <w:b w:val="1"/>
          <w:bCs w:val="1"/>
          <w:i w:val="0"/>
          <w:iCs w:val="0"/>
          <w:caps w:val="0"/>
          <w:smallCaps w:val="0"/>
          <w:noProof w:val="0"/>
          <w:color w:val="000000" w:themeColor="text1" w:themeTint="FF" w:themeShade="FF"/>
          <w:sz w:val="22"/>
          <w:szCs w:val="22"/>
          <w:lang w:val="en-GB"/>
        </w:rPr>
        <w:t>2018</w:t>
      </w:r>
      <w:r w:rsidRPr="324F48FC" w:rsidR="2AF12B2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HLA*PRG:LA - HLA typing from linearly projected graph alignments; Bioinformatics; </w:t>
      </w:r>
      <w:proofErr w:type="spellStart"/>
      <w:r w:rsidRPr="324F48FC" w:rsidR="2AF12B2E">
        <w:rPr>
          <w:rFonts w:ascii="Calibri" w:hAnsi="Calibri" w:eastAsia="Calibri" w:cs="Calibri"/>
          <w:b w:val="0"/>
          <w:bCs w:val="0"/>
          <w:i w:val="0"/>
          <w:iCs w:val="0"/>
          <w:caps w:val="0"/>
          <w:smallCaps w:val="0"/>
          <w:noProof w:val="0"/>
          <w:color w:val="000000" w:themeColor="text1" w:themeTint="FF" w:themeShade="FF"/>
          <w:sz w:val="22"/>
          <w:szCs w:val="22"/>
          <w:lang w:val="en-GB"/>
        </w:rPr>
        <w:t>pii</w:t>
      </w:r>
      <w:proofErr w:type="spellEnd"/>
      <w:r w:rsidRPr="324F48FC" w:rsidR="2AF12B2E">
        <w:rPr>
          <w:rFonts w:ascii="Calibri" w:hAnsi="Calibri" w:eastAsia="Calibri" w:cs="Calibri"/>
          <w:b w:val="0"/>
          <w:bCs w:val="0"/>
          <w:i w:val="0"/>
          <w:iCs w:val="0"/>
          <w:caps w:val="0"/>
          <w:smallCaps w:val="0"/>
          <w:noProof w:val="0"/>
          <w:color w:val="000000" w:themeColor="text1" w:themeTint="FF" w:themeShade="FF"/>
          <w:sz w:val="22"/>
          <w:szCs w:val="22"/>
          <w:lang w:val="en-GB"/>
        </w:rPr>
        <w:t>: btz235</w:t>
      </w:r>
    </w:p>
    <w:p w:rsidR="2AF12B2E" w:rsidP="324F48FC" w:rsidRDefault="2AF12B2E" w14:paraId="458672BE" w14:textId="301B1A61">
      <w:pPr>
        <w:pStyle w:val="ListParagraph"/>
        <w:numPr>
          <w:ilvl w:val="0"/>
          <w:numId w:val="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24F48FC" w:rsidR="2AF12B2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Brenner N, Mentzer AJ, Butt J, Braband KL, Michel A, Jeffery K, Klenerman P, Gärtner B, Schnitzler P, Hill A, Taylor G, Demontis MA, Guy E, Hadfield SJ, Almond R, Allen N, Pawlita M, Waterboer T </w:t>
      </w:r>
      <w:r w:rsidRPr="324F48FC" w:rsidR="2AF12B2E">
        <w:rPr>
          <w:rFonts w:ascii="Calibri" w:hAnsi="Calibri" w:eastAsia="Calibri" w:cs="Calibri"/>
          <w:b w:val="1"/>
          <w:bCs w:val="1"/>
          <w:i w:val="0"/>
          <w:iCs w:val="0"/>
          <w:caps w:val="0"/>
          <w:smallCaps w:val="0"/>
          <w:noProof w:val="0"/>
          <w:color w:val="000000" w:themeColor="text1" w:themeTint="FF" w:themeShade="FF"/>
          <w:sz w:val="22"/>
          <w:szCs w:val="22"/>
          <w:lang w:val="en-GB"/>
        </w:rPr>
        <w:t>2019</w:t>
      </w:r>
      <w:r w:rsidRPr="324F48FC" w:rsidR="2AF12B2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Validation of Multiplex Serology for human hepatitis viruses B and C, human T-lymphotropic virus 1 and Toxoplasma gondii; </w:t>
      </w:r>
      <w:proofErr w:type="spellStart"/>
      <w:r w:rsidRPr="324F48FC" w:rsidR="2AF12B2E">
        <w:rPr>
          <w:rFonts w:ascii="Calibri" w:hAnsi="Calibri" w:eastAsia="Calibri" w:cs="Calibri"/>
          <w:b w:val="0"/>
          <w:bCs w:val="0"/>
          <w:i w:val="0"/>
          <w:iCs w:val="0"/>
          <w:caps w:val="0"/>
          <w:smallCaps w:val="0"/>
          <w:noProof w:val="0"/>
          <w:color w:val="000000" w:themeColor="text1" w:themeTint="FF" w:themeShade="FF"/>
          <w:sz w:val="22"/>
          <w:szCs w:val="22"/>
          <w:lang w:val="en-GB"/>
        </w:rPr>
        <w:t>PLoS</w:t>
      </w:r>
      <w:proofErr w:type="spellEnd"/>
      <w:r w:rsidRPr="324F48FC" w:rsidR="2AF12B2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One:14(1</w:t>
      </w:r>
      <w:proofErr w:type="gramStart"/>
      <w:r w:rsidRPr="324F48FC" w:rsidR="2AF12B2E">
        <w:rPr>
          <w:rFonts w:ascii="Calibri" w:hAnsi="Calibri" w:eastAsia="Calibri" w:cs="Calibri"/>
          <w:b w:val="0"/>
          <w:bCs w:val="0"/>
          <w:i w:val="0"/>
          <w:iCs w:val="0"/>
          <w:caps w:val="0"/>
          <w:smallCaps w:val="0"/>
          <w:noProof w:val="0"/>
          <w:color w:val="000000" w:themeColor="text1" w:themeTint="FF" w:themeShade="FF"/>
          <w:sz w:val="22"/>
          <w:szCs w:val="22"/>
          <w:lang w:val="en-GB"/>
        </w:rPr>
        <w:t>):e</w:t>
      </w:r>
      <w:proofErr w:type="gramEnd"/>
      <w:r w:rsidRPr="324F48FC" w:rsidR="2AF12B2E">
        <w:rPr>
          <w:rFonts w:ascii="Calibri" w:hAnsi="Calibri" w:eastAsia="Calibri" w:cs="Calibri"/>
          <w:b w:val="0"/>
          <w:bCs w:val="0"/>
          <w:i w:val="0"/>
          <w:iCs w:val="0"/>
          <w:caps w:val="0"/>
          <w:smallCaps w:val="0"/>
          <w:noProof w:val="0"/>
          <w:color w:val="000000" w:themeColor="text1" w:themeTint="FF" w:themeShade="FF"/>
          <w:sz w:val="22"/>
          <w:szCs w:val="22"/>
          <w:lang w:val="en-GB"/>
        </w:rPr>
        <w:t>0210407</w:t>
      </w:r>
    </w:p>
    <w:p w:rsidR="7FB932B3" w:rsidP="13078046" w:rsidRDefault="7FB932B3" w14:paraId="2D905E97" w14:textId="26391763">
      <w:pPr>
        <w:pStyle w:val="ListParagraph"/>
        <w:numPr>
          <w:ilvl w:val="0"/>
          <w:numId w:val="4"/>
        </w:numPr>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13078046" w:rsidR="2AF12B2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Brenner N, Mentzer AJ, Butt J, Michel A, Prager K, </w:t>
      </w:r>
      <w:proofErr w:type="spellStart"/>
      <w:r w:rsidRPr="13078046" w:rsidR="2AF12B2E">
        <w:rPr>
          <w:rFonts w:ascii="Calibri" w:hAnsi="Calibri" w:eastAsia="Calibri" w:cs="Calibri"/>
          <w:b w:val="0"/>
          <w:bCs w:val="0"/>
          <w:i w:val="0"/>
          <w:iCs w:val="0"/>
          <w:caps w:val="0"/>
          <w:smallCaps w:val="0"/>
          <w:noProof w:val="0"/>
          <w:color w:val="000000" w:themeColor="text1" w:themeTint="FF" w:themeShade="FF"/>
          <w:sz w:val="22"/>
          <w:szCs w:val="22"/>
          <w:lang w:val="en-GB"/>
        </w:rPr>
        <w:t>Brozy</w:t>
      </w:r>
      <w:proofErr w:type="spellEnd"/>
      <w:r w:rsidRPr="13078046" w:rsidR="2AF12B2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J, </w:t>
      </w:r>
      <w:proofErr w:type="spellStart"/>
      <w:r w:rsidRPr="13078046" w:rsidR="2AF12B2E">
        <w:rPr>
          <w:rFonts w:ascii="Calibri" w:hAnsi="Calibri" w:eastAsia="Calibri" w:cs="Calibri"/>
          <w:b w:val="0"/>
          <w:bCs w:val="0"/>
          <w:i w:val="0"/>
          <w:iCs w:val="0"/>
          <w:caps w:val="0"/>
          <w:smallCaps w:val="0"/>
          <w:noProof w:val="0"/>
          <w:color w:val="000000" w:themeColor="text1" w:themeTint="FF" w:themeShade="FF"/>
          <w:sz w:val="22"/>
          <w:szCs w:val="22"/>
          <w:lang w:val="en-GB"/>
        </w:rPr>
        <w:t>Weißbrich</w:t>
      </w:r>
      <w:proofErr w:type="spellEnd"/>
      <w:r w:rsidRPr="13078046" w:rsidR="2AF12B2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 Aiello AE, Meier HCS, Breuer J, Almond R, Allen N, </w:t>
      </w:r>
      <w:proofErr w:type="spellStart"/>
      <w:r w:rsidRPr="13078046" w:rsidR="2AF12B2E">
        <w:rPr>
          <w:rFonts w:ascii="Calibri" w:hAnsi="Calibri" w:eastAsia="Calibri" w:cs="Calibri"/>
          <w:b w:val="0"/>
          <w:bCs w:val="0"/>
          <w:i w:val="0"/>
          <w:iCs w:val="0"/>
          <w:caps w:val="0"/>
          <w:smallCaps w:val="0"/>
          <w:noProof w:val="0"/>
          <w:color w:val="000000" w:themeColor="text1" w:themeTint="FF" w:themeShade="FF"/>
          <w:sz w:val="22"/>
          <w:szCs w:val="22"/>
          <w:lang w:val="en-GB"/>
        </w:rPr>
        <w:t>Pawlita</w:t>
      </w:r>
      <w:proofErr w:type="spellEnd"/>
      <w:r w:rsidRPr="13078046" w:rsidR="2AF12B2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 </w:t>
      </w:r>
      <w:proofErr w:type="spellStart"/>
      <w:r w:rsidRPr="13078046" w:rsidR="2AF12B2E">
        <w:rPr>
          <w:rFonts w:ascii="Calibri" w:hAnsi="Calibri" w:eastAsia="Calibri" w:cs="Calibri"/>
          <w:b w:val="0"/>
          <w:bCs w:val="0"/>
          <w:i w:val="0"/>
          <w:iCs w:val="0"/>
          <w:caps w:val="0"/>
          <w:smallCaps w:val="0"/>
          <w:noProof w:val="0"/>
          <w:color w:val="000000" w:themeColor="text1" w:themeTint="FF" w:themeShade="FF"/>
          <w:sz w:val="22"/>
          <w:szCs w:val="22"/>
          <w:lang w:val="en-GB"/>
        </w:rPr>
        <w:t>Waterboer</w:t>
      </w:r>
      <w:proofErr w:type="spellEnd"/>
      <w:r w:rsidRPr="13078046" w:rsidR="2AF12B2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 </w:t>
      </w:r>
      <w:r w:rsidRPr="13078046" w:rsidR="2AF12B2E">
        <w:rPr>
          <w:rFonts w:ascii="Calibri" w:hAnsi="Calibri" w:eastAsia="Calibri" w:cs="Calibri"/>
          <w:b w:val="1"/>
          <w:bCs w:val="1"/>
          <w:i w:val="0"/>
          <w:iCs w:val="0"/>
          <w:caps w:val="0"/>
          <w:smallCaps w:val="0"/>
          <w:noProof w:val="0"/>
          <w:color w:val="000000" w:themeColor="text1" w:themeTint="FF" w:themeShade="FF"/>
          <w:sz w:val="22"/>
          <w:szCs w:val="22"/>
          <w:lang w:val="en-GB"/>
        </w:rPr>
        <w:t>2018</w:t>
      </w:r>
      <w:r w:rsidRPr="13078046" w:rsidR="2AF12B2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Validation of Multiplex Serology detecting human herpesviruses 1-5; </w:t>
      </w:r>
      <w:proofErr w:type="spellStart"/>
      <w:r w:rsidRPr="13078046" w:rsidR="2AF12B2E">
        <w:rPr>
          <w:rFonts w:ascii="Calibri" w:hAnsi="Calibri" w:eastAsia="Calibri" w:cs="Calibri"/>
          <w:b w:val="0"/>
          <w:bCs w:val="0"/>
          <w:i w:val="0"/>
          <w:iCs w:val="0"/>
          <w:caps w:val="0"/>
          <w:smallCaps w:val="0"/>
          <w:noProof w:val="0"/>
          <w:color w:val="000000" w:themeColor="text1" w:themeTint="FF" w:themeShade="FF"/>
          <w:sz w:val="22"/>
          <w:szCs w:val="22"/>
          <w:lang w:val="en-GB"/>
        </w:rPr>
        <w:t>PLoS</w:t>
      </w:r>
      <w:proofErr w:type="spellEnd"/>
      <w:r w:rsidRPr="13078046" w:rsidR="2AF12B2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One: 13(12</w:t>
      </w:r>
      <w:r w:rsidRPr="13078046" w:rsidR="2AF12B2E">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3078046" w:rsidR="2AF12B2E">
        <w:rPr>
          <w:rFonts w:ascii="Calibri" w:hAnsi="Calibri" w:eastAsia="Calibri" w:cs="Calibri"/>
          <w:b w:val="0"/>
          <w:bCs w:val="0"/>
          <w:i w:val="0"/>
          <w:iCs w:val="0"/>
          <w:caps w:val="0"/>
          <w:smallCaps w:val="0"/>
          <w:noProof w:val="0"/>
          <w:color w:val="000000" w:themeColor="text1" w:themeTint="FF" w:themeShade="FF"/>
          <w:sz w:val="22"/>
          <w:szCs w:val="22"/>
          <w:lang w:val="en-GB"/>
        </w:rPr>
        <w:t>0209379</w:t>
      </w:r>
      <w:r w:rsidR="2AF12B2E">
        <w:rPr/>
        <w:t xml:space="preserve"> </w:t>
      </w:r>
    </w:p>
    <w:sectPr w:rsidR="7FB932B3">
      <w:headerReference w:type="default" r:id="rId10"/>
      <w:footerReference w:type="default" r:id="rId11"/>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7D6824" w14:paraId="5AD81B76" w14:textId="77777777">
      <w:pPr>
        <w:spacing w:after="0" w:line="240" w:lineRule="auto"/>
      </w:pPr>
      <w:r>
        <w:separator/>
      </w:r>
    </w:p>
  </w:endnote>
  <w:endnote w:type="continuationSeparator" w:id="0">
    <w:p w:rsidR="00000000" w:rsidRDefault="007D6824" w14:paraId="2218D558" w14:textId="77777777">
      <w:pPr>
        <w:spacing w:after="0" w:line="240" w:lineRule="auto"/>
      </w:pPr>
      <w:r>
        <w:continuationSeparator/>
      </w:r>
    </w:p>
  </w:endnote>
  <w:endnote w:type="continuationNotice" w:id="1">
    <w:p w:rsidR="00D15357" w:rsidRDefault="00D15357" w14:paraId="345B314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rsidTr="7FD3CFA3" w14:paraId="27769AF1" w14:textId="77777777">
      <w:tc>
        <w:tcPr>
          <w:tcW w:w="3005" w:type="dxa"/>
        </w:tcPr>
        <w:p w:rsidR="7FD3CFA3" w:rsidP="7FD3CFA3" w:rsidRDefault="7FD3CFA3" w14:paraId="111EA8BA" w14:textId="6C2A9936">
          <w:pPr>
            <w:pStyle w:val="Header"/>
            <w:jc w:val="center"/>
          </w:pPr>
        </w:p>
      </w:tc>
      <w:tc>
        <w:tcPr>
          <w:tcW w:w="3005" w:type="dxa"/>
        </w:tcPr>
        <w:p w:rsidR="7FD3CFA3" w:rsidP="7FD3CFA3" w:rsidRDefault="7FD3CFA3" w14:paraId="330EDF0C" w14:textId="70D7DF35">
          <w:pPr>
            <w:pStyle w:val="Header"/>
            <w:ind w:right="-115"/>
            <w:jc w:val="right"/>
          </w:pPr>
        </w:p>
      </w:tc>
    </w:tr>
  </w:tbl>
  <w:p w:rsidR="7FD3CFA3" w:rsidP="7FD3CFA3" w:rsidRDefault="7FD3CFA3" w14:paraId="1A6D8023" w14:textId="2F24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7D6824" w14:paraId="68A66100" w14:textId="77777777">
      <w:pPr>
        <w:spacing w:after="0" w:line="240" w:lineRule="auto"/>
      </w:pPr>
      <w:r>
        <w:separator/>
      </w:r>
    </w:p>
  </w:footnote>
  <w:footnote w:type="continuationSeparator" w:id="0">
    <w:p w:rsidR="00000000" w:rsidRDefault="007D6824" w14:paraId="235AEE01" w14:textId="77777777">
      <w:pPr>
        <w:spacing w:after="0" w:line="240" w:lineRule="auto"/>
      </w:pPr>
      <w:r>
        <w:continuationSeparator/>
      </w:r>
    </w:p>
  </w:footnote>
  <w:footnote w:type="continuationNotice" w:id="1">
    <w:p w:rsidR="00D15357" w:rsidRDefault="00D15357" w14:paraId="148D0A4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rsidTr="7FD3CFA3" w14:paraId="5906F55D" w14:textId="77777777">
      <w:tc>
        <w:tcPr>
          <w:tcW w:w="3005" w:type="dxa"/>
        </w:tcPr>
        <w:p w:rsidR="7FD3CFA3" w:rsidP="7FD3CFA3" w:rsidRDefault="7FD3CFA3" w14:paraId="48D8E565" w14:textId="587E6193">
          <w:pPr>
            <w:pStyle w:val="Header"/>
            <w:ind w:left="-115"/>
          </w:pPr>
        </w:p>
      </w:tc>
      <w:tc>
        <w:tcPr>
          <w:tcW w:w="3005" w:type="dxa"/>
        </w:tcPr>
        <w:p w:rsidR="7FD3CFA3" w:rsidP="7FD3CFA3" w:rsidRDefault="7FD3CFA3" w14:paraId="6B8AD47A" w14:textId="7271082E">
          <w:pPr>
            <w:pStyle w:val="Header"/>
            <w:jc w:val="center"/>
          </w:pPr>
        </w:p>
      </w:tc>
      <w:tc>
        <w:tcPr>
          <w:tcW w:w="3005" w:type="dxa"/>
        </w:tcPr>
        <w:p w:rsidR="7FD3CFA3" w:rsidP="7FD3CFA3" w:rsidRDefault="7FD3CFA3" w14:paraId="0F5CF67E" w14:textId="04951491">
          <w:pPr>
            <w:pStyle w:val="Header"/>
            <w:ind w:right="-115"/>
            <w:jc w:val="right"/>
          </w:pPr>
        </w:p>
      </w:tc>
    </w:tr>
  </w:tbl>
  <w:p w:rsidR="7FD3CFA3" w:rsidP="7FD3CFA3" w:rsidRDefault="7FD3CFA3" w14:paraId="10F9C699" w14:textId="46666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0">
    <w:nsid w:val="1a5512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2" w:hAnsi="Wingdings 2"/>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F7117E"/>
    <w:multiLevelType w:val="hybridMultilevel"/>
    <w:tmpl w:val="5F3CFD1E"/>
    <w:lvl w:ilvl="0" w:tplc="119E5E72">
      <w:start w:val="1"/>
      <w:numFmt w:val="bullet"/>
      <w:lvlText w:val=""/>
      <w:lvlJc w:val="left"/>
      <w:pPr>
        <w:ind w:left="720" w:hanging="360"/>
      </w:pPr>
      <w:rPr>
        <w:rFonts w:hint="default" w:ascii="Symbol" w:hAnsi="Symbol"/>
      </w:rPr>
    </w:lvl>
    <w:lvl w:ilvl="1" w:tplc="A97ED120">
      <w:start w:val="1"/>
      <w:numFmt w:val="bullet"/>
      <w:lvlText w:val="o"/>
      <w:lvlJc w:val="left"/>
      <w:pPr>
        <w:ind w:left="1440" w:hanging="360"/>
      </w:pPr>
      <w:rPr>
        <w:rFonts w:hint="default" w:ascii="Courier New" w:hAnsi="Courier New"/>
      </w:rPr>
    </w:lvl>
    <w:lvl w:ilvl="2" w:tplc="6868B9A2">
      <w:start w:val="1"/>
      <w:numFmt w:val="bullet"/>
      <w:lvlText w:val=""/>
      <w:lvlJc w:val="left"/>
      <w:pPr>
        <w:ind w:left="2160" w:hanging="360"/>
      </w:pPr>
      <w:rPr>
        <w:rFonts w:hint="default" w:ascii="Wingdings" w:hAnsi="Wingdings"/>
      </w:rPr>
    </w:lvl>
    <w:lvl w:ilvl="3" w:tplc="EC5E9184">
      <w:start w:val="1"/>
      <w:numFmt w:val="bullet"/>
      <w:lvlText w:val=""/>
      <w:lvlJc w:val="left"/>
      <w:pPr>
        <w:ind w:left="2880" w:hanging="360"/>
      </w:pPr>
      <w:rPr>
        <w:rFonts w:hint="default" w:ascii="Symbol" w:hAnsi="Symbol"/>
      </w:rPr>
    </w:lvl>
    <w:lvl w:ilvl="4" w:tplc="1526C194">
      <w:start w:val="1"/>
      <w:numFmt w:val="bullet"/>
      <w:lvlText w:val="o"/>
      <w:lvlJc w:val="left"/>
      <w:pPr>
        <w:ind w:left="3600" w:hanging="360"/>
      </w:pPr>
      <w:rPr>
        <w:rFonts w:hint="default" w:ascii="Courier New" w:hAnsi="Courier New"/>
      </w:rPr>
    </w:lvl>
    <w:lvl w:ilvl="5" w:tplc="D310CA9A">
      <w:start w:val="1"/>
      <w:numFmt w:val="bullet"/>
      <w:lvlText w:val=""/>
      <w:lvlJc w:val="left"/>
      <w:pPr>
        <w:ind w:left="4320" w:hanging="360"/>
      </w:pPr>
      <w:rPr>
        <w:rFonts w:hint="default" w:ascii="Wingdings" w:hAnsi="Wingdings"/>
      </w:rPr>
    </w:lvl>
    <w:lvl w:ilvl="6" w:tplc="EE4EB578">
      <w:start w:val="1"/>
      <w:numFmt w:val="bullet"/>
      <w:lvlText w:val=""/>
      <w:lvlJc w:val="left"/>
      <w:pPr>
        <w:ind w:left="5040" w:hanging="360"/>
      </w:pPr>
      <w:rPr>
        <w:rFonts w:hint="default" w:ascii="Symbol" w:hAnsi="Symbol"/>
      </w:rPr>
    </w:lvl>
    <w:lvl w:ilvl="7" w:tplc="74A0AA52">
      <w:start w:val="1"/>
      <w:numFmt w:val="bullet"/>
      <w:lvlText w:val="o"/>
      <w:lvlJc w:val="left"/>
      <w:pPr>
        <w:ind w:left="5760" w:hanging="360"/>
      </w:pPr>
      <w:rPr>
        <w:rFonts w:hint="default" w:ascii="Courier New" w:hAnsi="Courier New"/>
      </w:rPr>
    </w:lvl>
    <w:lvl w:ilvl="8" w:tplc="C0503A2A">
      <w:start w:val="1"/>
      <w:numFmt w:val="bullet"/>
      <w:lvlText w:val=""/>
      <w:lvlJc w:val="left"/>
      <w:pPr>
        <w:ind w:left="6480" w:hanging="360"/>
      </w:pPr>
      <w:rPr>
        <w:rFonts w:hint="default" w:ascii="Wingdings" w:hAnsi="Wingdings"/>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hint="default" w:ascii="Symbol" w:hAnsi="Symbol"/>
      </w:rPr>
    </w:lvl>
    <w:lvl w:ilvl="1" w:tplc="AB5207B0">
      <w:start w:val="1"/>
      <w:numFmt w:val="bullet"/>
      <w:lvlText w:val="o"/>
      <w:lvlJc w:val="left"/>
      <w:pPr>
        <w:ind w:left="1440" w:hanging="360"/>
      </w:pPr>
      <w:rPr>
        <w:rFonts w:hint="default" w:ascii="Courier New" w:hAnsi="Courier New"/>
      </w:rPr>
    </w:lvl>
    <w:lvl w:ilvl="2" w:tplc="57DE32C4">
      <w:start w:val="1"/>
      <w:numFmt w:val="bullet"/>
      <w:lvlText w:val=""/>
      <w:lvlJc w:val="left"/>
      <w:pPr>
        <w:ind w:left="2160" w:hanging="360"/>
      </w:pPr>
      <w:rPr>
        <w:rFonts w:hint="default" w:ascii="Wingdings" w:hAnsi="Wingdings"/>
      </w:rPr>
    </w:lvl>
    <w:lvl w:ilvl="3" w:tplc="0FDA8A52">
      <w:start w:val="1"/>
      <w:numFmt w:val="bullet"/>
      <w:lvlText w:val=""/>
      <w:lvlJc w:val="left"/>
      <w:pPr>
        <w:ind w:left="2880" w:hanging="360"/>
      </w:pPr>
      <w:rPr>
        <w:rFonts w:hint="default" w:ascii="Symbol" w:hAnsi="Symbol"/>
      </w:rPr>
    </w:lvl>
    <w:lvl w:ilvl="4" w:tplc="029EAB40">
      <w:start w:val="1"/>
      <w:numFmt w:val="bullet"/>
      <w:lvlText w:val="o"/>
      <w:lvlJc w:val="left"/>
      <w:pPr>
        <w:ind w:left="3600" w:hanging="360"/>
      </w:pPr>
      <w:rPr>
        <w:rFonts w:hint="default" w:ascii="Courier New" w:hAnsi="Courier New"/>
      </w:rPr>
    </w:lvl>
    <w:lvl w:ilvl="5" w:tplc="5640699E">
      <w:start w:val="1"/>
      <w:numFmt w:val="bullet"/>
      <w:lvlText w:val=""/>
      <w:lvlJc w:val="left"/>
      <w:pPr>
        <w:ind w:left="4320" w:hanging="360"/>
      </w:pPr>
      <w:rPr>
        <w:rFonts w:hint="default" w:ascii="Wingdings" w:hAnsi="Wingdings"/>
      </w:rPr>
    </w:lvl>
    <w:lvl w:ilvl="6" w:tplc="58B48D12">
      <w:start w:val="1"/>
      <w:numFmt w:val="bullet"/>
      <w:lvlText w:val=""/>
      <w:lvlJc w:val="left"/>
      <w:pPr>
        <w:ind w:left="5040" w:hanging="360"/>
      </w:pPr>
      <w:rPr>
        <w:rFonts w:hint="default" w:ascii="Symbol" w:hAnsi="Symbol"/>
      </w:rPr>
    </w:lvl>
    <w:lvl w:ilvl="7" w:tplc="5BEE3F00">
      <w:start w:val="1"/>
      <w:numFmt w:val="bullet"/>
      <w:lvlText w:val="o"/>
      <w:lvlJc w:val="left"/>
      <w:pPr>
        <w:ind w:left="5760" w:hanging="360"/>
      </w:pPr>
      <w:rPr>
        <w:rFonts w:hint="default" w:ascii="Courier New" w:hAnsi="Courier New"/>
      </w:rPr>
    </w:lvl>
    <w:lvl w:ilvl="8" w:tplc="39B08B0C">
      <w:start w:val="1"/>
      <w:numFmt w:val="bullet"/>
      <w:lvlText w:val=""/>
      <w:lvlJc w:val="left"/>
      <w:pPr>
        <w:ind w:left="6480" w:hanging="360"/>
      </w:pPr>
      <w:rPr>
        <w:rFonts w:hint="default" w:ascii="Wingdings" w:hAnsi="Wingdings"/>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7EA5"/>
    <w:multiLevelType w:val="hybridMultilevel"/>
    <w:tmpl w:val="FFFFFFFF"/>
    <w:lvl w:ilvl="0" w:tplc="ACAE2E76">
      <w:start w:val="1"/>
      <w:numFmt w:val="bullet"/>
      <w:lvlText w:val=""/>
      <w:lvlJc w:val="left"/>
      <w:pPr>
        <w:ind w:left="720" w:hanging="360"/>
      </w:pPr>
      <w:rPr>
        <w:rFonts w:hint="default" w:ascii="Symbol" w:hAnsi="Symbol"/>
      </w:rPr>
    </w:lvl>
    <w:lvl w:ilvl="1" w:tplc="ED7A1114">
      <w:start w:val="1"/>
      <w:numFmt w:val="bullet"/>
      <w:lvlText w:val="o"/>
      <w:lvlJc w:val="left"/>
      <w:pPr>
        <w:ind w:left="1440" w:hanging="360"/>
      </w:pPr>
      <w:rPr>
        <w:rFonts w:hint="default" w:ascii="Courier New" w:hAnsi="Courier New"/>
      </w:rPr>
    </w:lvl>
    <w:lvl w:ilvl="2" w:tplc="76AAC420">
      <w:start w:val="1"/>
      <w:numFmt w:val="bullet"/>
      <w:lvlText w:val=""/>
      <w:lvlJc w:val="left"/>
      <w:pPr>
        <w:ind w:left="2160" w:hanging="360"/>
      </w:pPr>
      <w:rPr>
        <w:rFonts w:hint="default" w:ascii="Wingdings" w:hAnsi="Wingdings"/>
      </w:rPr>
    </w:lvl>
    <w:lvl w:ilvl="3" w:tplc="A9466ED6">
      <w:start w:val="1"/>
      <w:numFmt w:val="bullet"/>
      <w:lvlText w:val=""/>
      <w:lvlJc w:val="left"/>
      <w:pPr>
        <w:ind w:left="2880" w:hanging="360"/>
      </w:pPr>
      <w:rPr>
        <w:rFonts w:hint="default" w:ascii="Symbol" w:hAnsi="Symbol"/>
      </w:rPr>
    </w:lvl>
    <w:lvl w:ilvl="4" w:tplc="99F26312">
      <w:start w:val="1"/>
      <w:numFmt w:val="bullet"/>
      <w:lvlText w:val="o"/>
      <w:lvlJc w:val="left"/>
      <w:pPr>
        <w:ind w:left="3600" w:hanging="360"/>
      </w:pPr>
      <w:rPr>
        <w:rFonts w:hint="default" w:ascii="Courier New" w:hAnsi="Courier New"/>
      </w:rPr>
    </w:lvl>
    <w:lvl w:ilvl="5" w:tplc="165AEC20">
      <w:start w:val="1"/>
      <w:numFmt w:val="bullet"/>
      <w:lvlText w:val=""/>
      <w:lvlJc w:val="left"/>
      <w:pPr>
        <w:ind w:left="4320" w:hanging="360"/>
      </w:pPr>
      <w:rPr>
        <w:rFonts w:hint="default" w:ascii="Wingdings" w:hAnsi="Wingdings"/>
      </w:rPr>
    </w:lvl>
    <w:lvl w:ilvl="6" w:tplc="3B00DBAA">
      <w:start w:val="1"/>
      <w:numFmt w:val="bullet"/>
      <w:lvlText w:val=""/>
      <w:lvlJc w:val="left"/>
      <w:pPr>
        <w:ind w:left="5040" w:hanging="360"/>
      </w:pPr>
      <w:rPr>
        <w:rFonts w:hint="default" w:ascii="Symbol" w:hAnsi="Symbol"/>
      </w:rPr>
    </w:lvl>
    <w:lvl w:ilvl="7" w:tplc="A2A62B3A">
      <w:start w:val="1"/>
      <w:numFmt w:val="bullet"/>
      <w:lvlText w:val="o"/>
      <w:lvlJc w:val="left"/>
      <w:pPr>
        <w:ind w:left="5760" w:hanging="360"/>
      </w:pPr>
      <w:rPr>
        <w:rFonts w:hint="default" w:ascii="Courier New" w:hAnsi="Courier New"/>
      </w:rPr>
    </w:lvl>
    <w:lvl w:ilvl="8" w:tplc="AE8E0EA4">
      <w:start w:val="1"/>
      <w:numFmt w:val="bullet"/>
      <w:lvlText w:val=""/>
      <w:lvlJc w:val="left"/>
      <w:pPr>
        <w:ind w:left="6480" w:hanging="360"/>
      </w:pPr>
      <w:rPr>
        <w:rFonts w:hint="default" w:ascii="Wingdings" w:hAnsi="Wingdings"/>
      </w:rPr>
    </w:lvl>
  </w:abstractNum>
  <w:abstractNum w:abstractNumId="5" w15:restartNumberingAfterBreak="0">
    <w:nsid w:val="5A2516DF"/>
    <w:multiLevelType w:val="multilevel"/>
    <w:tmpl w:val="F10AD486"/>
    <w:lvl w:ilvl="0">
      <w:start w:val="2"/>
      <w:numFmt w:val="bullet"/>
      <w:lvlText w:val=""/>
      <w:lvlJc w:val="left"/>
      <w:pPr>
        <w:ind w:left="720" w:hanging="360"/>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5D71706E"/>
    <w:multiLevelType w:val="multilevel"/>
    <w:tmpl w:val="1E589478"/>
    <w:lvl w:ilvl="0">
      <w:start w:val="2"/>
      <w:numFmt w:val="bullet"/>
      <w:lvlText w:val=""/>
      <w:lvlJc w:val="left"/>
      <w:pPr>
        <w:ind w:left="284" w:hanging="284"/>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62854C5F"/>
    <w:multiLevelType w:val="hybridMultilevel"/>
    <w:tmpl w:val="E53258A4"/>
    <w:lvl w:ilvl="0">
      <w:start w:val="1"/>
      <w:numFmt w:val="bullet"/>
      <w:lvlText w:val=""/>
      <w:lvlJc w:val="left"/>
      <w:pPr>
        <w:ind w:left="340" w:hanging="340"/>
      </w:pPr>
      <w:rPr>
        <w:rFonts w:hint="default" w:ascii="Symbol" w:hAnsi="Symbol"/>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5A17A41"/>
    <w:multiLevelType w:val="hybridMultilevel"/>
    <w:tmpl w:val="B6DEF26A"/>
    <w:lvl w:ilvl="0" w:tplc="8C46DD9A">
      <w:start w:val="1"/>
      <w:numFmt w:val="bullet"/>
      <w:lvlText w:val=""/>
      <w:lvlJc w:val="left"/>
      <w:pPr>
        <w:ind w:left="720" w:hanging="360"/>
      </w:pPr>
      <w:rPr>
        <w:rFonts w:hint="default" w:ascii="Symbol" w:hAnsi="Symbol"/>
      </w:rPr>
    </w:lvl>
    <w:lvl w:ilvl="1" w:tplc="03AC49E8">
      <w:start w:val="1"/>
      <w:numFmt w:val="bullet"/>
      <w:lvlText w:val="o"/>
      <w:lvlJc w:val="left"/>
      <w:pPr>
        <w:ind w:left="1440" w:hanging="360"/>
      </w:pPr>
      <w:rPr>
        <w:rFonts w:hint="default" w:ascii="Courier New" w:hAnsi="Courier New"/>
      </w:rPr>
    </w:lvl>
    <w:lvl w:ilvl="2" w:tplc="AAF4C522">
      <w:start w:val="1"/>
      <w:numFmt w:val="bullet"/>
      <w:lvlText w:val=""/>
      <w:lvlJc w:val="left"/>
      <w:pPr>
        <w:ind w:left="2160" w:hanging="360"/>
      </w:pPr>
      <w:rPr>
        <w:rFonts w:hint="default" w:ascii="Wingdings" w:hAnsi="Wingdings"/>
      </w:rPr>
    </w:lvl>
    <w:lvl w:ilvl="3" w:tplc="33525FAE">
      <w:start w:val="1"/>
      <w:numFmt w:val="bullet"/>
      <w:lvlText w:val=""/>
      <w:lvlJc w:val="left"/>
      <w:pPr>
        <w:ind w:left="2880" w:hanging="360"/>
      </w:pPr>
      <w:rPr>
        <w:rFonts w:hint="default" w:ascii="Symbol" w:hAnsi="Symbol"/>
      </w:rPr>
    </w:lvl>
    <w:lvl w:ilvl="4" w:tplc="F6F0189C">
      <w:start w:val="1"/>
      <w:numFmt w:val="bullet"/>
      <w:lvlText w:val="o"/>
      <w:lvlJc w:val="left"/>
      <w:pPr>
        <w:ind w:left="3600" w:hanging="360"/>
      </w:pPr>
      <w:rPr>
        <w:rFonts w:hint="default" w:ascii="Courier New" w:hAnsi="Courier New"/>
      </w:rPr>
    </w:lvl>
    <w:lvl w:ilvl="5" w:tplc="80E420B0">
      <w:start w:val="1"/>
      <w:numFmt w:val="bullet"/>
      <w:lvlText w:val=""/>
      <w:lvlJc w:val="left"/>
      <w:pPr>
        <w:ind w:left="4320" w:hanging="360"/>
      </w:pPr>
      <w:rPr>
        <w:rFonts w:hint="default" w:ascii="Wingdings" w:hAnsi="Wingdings"/>
      </w:rPr>
    </w:lvl>
    <w:lvl w:ilvl="6" w:tplc="7C82FB10">
      <w:start w:val="1"/>
      <w:numFmt w:val="bullet"/>
      <w:lvlText w:val=""/>
      <w:lvlJc w:val="left"/>
      <w:pPr>
        <w:ind w:left="5040" w:hanging="360"/>
      </w:pPr>
      <w:rPr>
        <w:rFonts w:hint="default" w:ascii="Symbol" w:hAnsi="Symbol"/>
      </w:rPr>
    </w:lvl>
    <w:lvl w:ilvl="7" w:tplc="3DB485CC">
      <w:start w:val="1"/>
      <w:numFmt w:val="bullet"/>
      <w:lvlText w:val="o"/>
      <w:lvlJc w:val="left"/>
      <w:pPr>
        <w:ind w:left="5760" w:hanging="360"/>
      </w:pPr>
      <w:rPr>
        <w:rFonts w:hint="default" w:ascii="Courier New" w:hAnsi="Courier New"/>
      </w:rPr>
    </w:lvl>
    <w:lvl w:ilvl="8" w:tplc="695C5F0E">
      <w:start w:val="1"/>
      <w:numFmt w:val="bullet"/>
      <w:lvlText w:val=""/>
      <w:lvlJc w:val="left"/>
      <w:pPr>
        <w:ind w:left="6480" w:hanging="360"/>
      </w:pPr>
      <w:rPr>
        <w:rFonts w:hint="default" w:ascii="Wingdings" w:hAnsi="Wingdings"/>
      </w:rPr>
    </w:lvl>
  </w:abstractNum>
  <w:abstractNum w:abstractNumId="9" w15:restartNumberingAfterBreak="0">
    <w:nsid w:val="7BB40045"/>
    <w:multiLevelType w:val="hybridMultilevel"/>
    <w:tmpl w:val="F5ECF5F6"/>
    <w:lvl w:ilvl="0" w:tplc="896C6ABA">
      <w:start w:val="1"/>
      <w:numFmt w:val="bullet"/>
      <w:lvlText w:val=""/>
      <w:lvlJc w:val="left"/>
      <w:pPr>
        <w:ind w:left="720" w:hanging="360"/>
      </w:pPr>
      <w:rPr>
        <w:rFonts w:hint="default" w:ascii="Symbol" w:hAnsi="Symbol"/>
      </w:rPr>
    </w:lvl>
    <w:lvl w:ilvl="1" w:tplc="BF28E9CE">
      <w:start w:val="1"/>
      <w:numFmt w:val="bullet"/>
      <w:lvlText w:val="o"/>
      <w:lvlJc w:val="left"/>
      <w:pPr>
        <w:ind w:left="1440" w:hanging="360"/>
      </w:pPr>
      <w:rPr>
        <w:rFonts w:hint="default" w:ascii="Courier New" w:hAnsi="Courier New"/>
      </w:rPr>
    </w:lvl>
    <w:lvl w:ilvl="2" w:tplc="16B0A7CC">
      <w:start w:val="1"/>
      <w:numFmt w:val="bullet"/>
      <w:lvlText w:val=""/>
      <w:lvlJc w:val="left"/>
      <w:pPr>
        <w:ind w:left="2160" w:hanging="360"/>
      </w:pPr>
      <w:rPr>
        <w:rFonts w:hint="default" w:ascii="Wingdings" w:hAnsi="Wingdings"/>
      </w:rPr>
    </w:lvl>
    <w:lvl w:ilvl="3" w:tplc="E8581C36">
      <w:start w:val="1"/>
      <w:numFmt w:val="bullet"/>
      <w:lvlText w:val=""/>
      <w:lvlJc w:val="left"/>
      <w:pPr>
        <w:ind w:left="2880" w:hanging="360"/>
      </w:pPr>
      <w:rPr>
        <w:rFonts w:hint="default" w:ascii="Symbol" w:hAnsi="Symbol"/>
      </w:rPr>
    </w:lvl>
    <w:lvl w:ilvl="4" w:tplc="995A99D8">
      <w:start w:val="1"/>
      <w:numFmt w:val="bullet"/>
      <w:lvlText w:val="o"/>
      <w:lvlJc w:val="left"/>
      <w:pPr>
        <w:ind w:left="3600" w:hanging="360"/>
      </w:pPr>
      <w:rPr>
        <w:rFonts w:hint="default" w:ascii="Courier New" w:hAnsi="Courier New"/>
      </w:rPr>
    </w:lvl>
    <w:lvl w:ilvl="5" w:tplc="7360A6EA">
      <w:start w:val="1"/>
      <w:numFmt w:val="bullet"/>
      <w:lvlText w:val=""/>
      <w:lvlJc w:val="left"/>
      <w:pPr>
        <w:ind w:left="4320" w:hanging="360"/>
      </w:pPr>
      <w:rPr>
        <w:rFonts w:hint="default" w:ascii="Wingdings" w:hAnsi="Wingdings"/>
      </w:rPr>
    </w:lvl>
    <w:lvl w:ilvl="6" w:tplc="E4D6616A">
      <w:start w:val="1"/>
      <w:numFmt w:val="bullet"/>
      <w:lvlText w:val=""/>
      <w:lvlJc w:val="left"/>
      <w:pPr>
        <w:ind w:left="5040" w:hanging="360"/>
      </w:pPr>
      <w:rPr>
        <w:rFonts w:hint="default" w:ascii="Symbol" w:hAnsi="Symbol"/>
      </w:rPr>
    </w:lvl>
    <w:lvl w:ilvl="7" w:tplc="7D2A1922">
      <w:start w:val="1"/>
      <w:numFmt w:val="bullet"/>
      <w:lvlText w:val="o"/>
      <w:lvlJc w:val="left"/>
      <w:pPr>
        <w:ind w:left="5760" w:hanging="360"/>
      </w:pPr>
      <w:rPr>
        <w:rFonts w:hint="default" w:ascii="Courier New" w:hAnsi="Courier New"/>
      </w:rPr>
    </w:lvl>
    <w:lvl w:ilvl="8" w:tplc="A4608C5C">
      <w:start w:val="1"/>
      <w:numFmt w:val="bullet"/>
      <w:lvlText w:val=""/>
      <w:lvlJc w:val="left"/>
      <w:pPr>
        <w:ind w:left="6480" w:hanging="360"/>
      </w:pPr>
      <w:rPr>
        <w:rFonts w:hint="default" w:ascii="Wingdings" w:hAnsi="Wingdings"/>
      </w:rPr>
    </w:lvl>
  </w:abstractNum>
  <w:num w:numId="11">
    <w:abstractNumId w:val="10"/>
  </w:num>
  <w:num w:numId="1">
    <w:abstractNumId w:val="9"/>
  </w:num>
  <w:num w:numId="2">
    <w:abstractNumId w:val="2"/>
  </w:num>
  <w:num w:numId="3">
    <w:abstractNumId w:val="3"/>
  </w:num>
  <w:num w:numId="4">
    <w:abstractNumId w:val="7"/>
  </w:num>
  <w:num w:numId="5">
    <w:abstractNumId w:val="5"/>
  </w:num>
  <w:num w:numId="6">
    <w:abstractNumId w:val="6"/>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1698A"/>
    <w:rsid w:val="001843B7"/>
    <w:rsid w:val="001A1EFC"/>
    <w:rsid w:val="001A6B3E"/>
    <w:rsid w:val="001B03C6"/>
    <w:rsid w:val="001F5E77"/>
    <w:rsid w:val="00202C4D"/>
    <w:rsid w:val="002302D4"/>
    <w:rsid w:val="0023085C"/>
    <w:rsid w:val="002649E5"/>
    <w:rsid w:val="00274294"/>
    <w:rsid w:val="002F4544"/>
    <w:rsid w:val="00302806"/>
    <w:rsid w:val="00311642"/>
    <w:rsid w:val="00316B23"/>
    <w:rsid w:val="00353570"/>
    <w:rsid w:val="003565FC"/>
    <w:rsid w:val="003606AA"/>
    <w:rsid w:val="003764D2"/>
    <w:rsid w:val="003A40EA"/>
    <w:rsid w:val="003A41D2"/>
    <w:rsid w:val="003A527B"/>
    <w:rsid w:val="003B0D2F"/>
    <w:rsid w:val="003B62E4"/>
    <w:rsid w:val="003E2BDE"/>
    <w:rsid w:val="004022ED"/>
    <w:rsid w:val="00432623"/>
    <w:rsid w:val="00440FA7"/>
    <w:rsid w:val="00466D28"/>
    <w:rsid w:val="004A69A0"/>
    <w:rsid w:val="00517D7C"/>
    <w:rsid w:val="00561C76"/>
    <w:rsid w:val="005808C6"/>
    <w:rsid w:val="005A096A"/>
    <w:rsid w:val="005B365E"/>
    <w:rsid w:val="005F7468"/>
    <w:rsid w:val="0065112B"/>
    <w:rsid w:val="006A764D"/>
    <w:rsid w:val="006C080B"/>
    <w:rsid w:val="006C3539"/>
    <w:rsid w:val="00712327"/>
    <w:rsid w:val="00747512"/>
    <w:rsid w:val="0077377E"/>
    <w:rsid w:val="007D6824"/>
    <w:rsid w:val="007F2F35"/>
    <w:rsid w:val="00807782"/>
    <w:rsid w:val="008154D5"/>
    <w:rsid w:val="00825CDC"/>
    <w:rsid w:val="008813B3"/>
    <w:rsid w:val="00897696"/>
    <w:rsid w:val="008C6A4B"/>
    <w:rsid w:val="00904427"/>
    <w:rsid w:val="009171AD"/>
    <w:rsid w:val="00960A90"/>
    <w:rsid w:val="009E6E0B"/>
    <w:rsid w:val="009F7259"/>
    <w:rsid w:val="00A33B99"/>
    <w:rsid w:val="00A450B2"/>
    <w:rsid w:val="00A8315D"/>
    <w:rsid w:val="00AC578C"/>
    <w:rsid w:val="00B23FF3"/>
    <w:rsid w:val="00B4402A"/>
    <w:rsid w:val="00B564C1"/>
    <w:rsid w:val="00B64514"/>
    <w:rsid w:val="00C041C0"/>
    <w:rsid w:val="00C04C28"/>
    <w:rsid w:val="00C30F56"/>
    <w:rsid w:val="00C41B35"/>
    <w:rsid w:val="00C55DBC"/>
    <w:rsid w:val="00C64C6E"/>
    <w:rsid w:val="00C73C6A"/>
    <w:rsid w:val="00C77505"/>
    <w:rsid w:val="00C777DC"/>
    <w:rsid w:val="00C92FD2"/>
    <w:rsid w:val="00CA381F"/>
    <w:rsid w:val="00CB0A7D"/>
    <w:rsid w:val="00CC105F"/>
    <w:rsid w:val="00D15357"/>
    <w:rsid w:val="00D2612B"/>
    <w:rsid w:val="00D461D2"/>
    <w:rsid w:val="00D666F3"/>
    <w:rsid w:val="00D921A5"/>
    <w:rsid w:val="00DA7385"/>
    <w:rsid w:val="00DB1939"/>
    <w:rsid w:val="00E06AB2"/>
    <w:rsid w:val="00E57873"/>
    <w:rsid w:val="00EA21C7"/>
    <w:rsid w:val="00EA2468"/>
    <w:rsid w:val="00ED0447"/>
    <w:rsid w:val="00EE3F41"/>
    <w:rsid w:val="00EE7F7E"/>
    <w:rsid w:val="00EF44AC"/>
    <w:rsid w:val="00EF7B75"/>
    <w:rsid w:val="00F002C5"/>
    <w:rsid w:val="00F02634"/>
    <w:rsid w:val="00F37A60"/>
    <w:rsid w:val="00F47C1E"/>
    <w:rsid w:val="00F64A02"/>
    <w:rsid w:val="00F653B8"/>
    <w:rsid w:val="00F67BBE"/>
    <w:rsid w:val="00F73876"/>
    <w:rsid w:val="00F83B49"/>
    <w:rsid w:val="00FC7B82"/>
    <w:rsid w:val="00FD12B2"/>
    <w:rsid w:val="00FF74ED"/>
    <w:rsid w:val="010F800C"/>
    <w:rsid w:val="0239441B"/>
    <w:rsid w:val="029D2AF0"/>
    <w:rsid w:val="02CCE20E"/>
    <w:rsid w:val="04F946A9"/>
    <w:rsid w:val="05121CA6"/>
    <w:rsid w:val="0542B5AD"/>
    <w:rsid w:val="0551821D"/>
    <w:rsid w:val="063FF700"/>
    <w:rsid w:val="06821CA3"/>
    <w:rsid w:val="0690A245"/>
    <w:rsid w:val="06D734C7"/>
    <w:rsid w:val="072D90F2"/>
    <w:rsid w:val="07F49568"/>
    <w:rsid w:val="085C857C"/>
    <w:rsid w:val="0888D809"/>
    <w:rsid w:val="08915EDD"/>
    <w:rsid w:val="08D90FB0"/>
    <w:rsid w:val="09680280"/>
    <w:rsid w:val="0987FC42"/>
    <w:rsid w:val="09CDA4BF"/>
    <w:rsid w:val="09E5625B"/>
    <w:rsid w:val="0AFBF772"/>
    <w:rsid w:val="0B03D2E1"/>
    <w:rsid w:val="0B56FBDE"/>
    <w:rsid w:val="0B7D7D88"/>
    <w:rsid w:val="0BB18E28"/>
    <w:rsid w:val="0C1FE4F1"/>
    <w:rsid w:val="0C4E5AD3"/>
    <w:rsid w:val="0C96631A"/>
    <w:rsid w:val="0CB5B584"/>
    <w:rsid w:val="0D35981F"/>
    <w:rsid w:val="0D4885FD"/>
    <w:rsid w:val="0D5D3FB3"/>
    <w:rsid w:val="0D952527"/>
    <w:rsid w:val="0DE327E1"/>
    <w:rsid w:val="0E12A406"/>
    <w:rsid w:val="0E433199"/>
    <w:rsid w:val="0E50B9EA"/>
    <w:rsid w:val="0E67C3C5"/>
    <w:rsid w:val="0EAD8D37"/>
    <w:rsid w:val="0F1F45B9"/>
    <w:rsid w:val="0FB6B727"/>
    <w:rsid w:val="100B5E48"/>
    <w:rsid w:val="10104FFB"/>
    <w:rsid w:val="10499D84"/>
    <w:rsid w:val="105C9165"/>
    <w:rsid w:val="10E10D57"/>
    <w:rsid w:val="11C45497"/>
    <w:rsid w:val="12413528"/>
    <w:rsid w:val="12EE57E9"/>
    <w:rsid w:val="13078046"/>
    <w:rsid w:val="13088B6B"/>
    <w:rsid w:val="130EE4C6"/>
    <w:rsid w:val="13329FFA"/>
    <w:rsid w:val="13765816"/>
    <w:rsid w:val="13943227"/>
    <w:rsid w:val="15B34A6C"/>
    <w:rsid w:val="15FB26F1"/>
    <w:rsid w:val="15FEB8A1"/>
    <w:rsid w:val="166F013C"/>
    <w:rsid w:val="16CC2102"/>
    <w:rsid w:val="16FCCD6E"/>
    <w:rsid w:val="1740FF9B"/>
    <w:rsid w:val="17523E8F"/>
    <w:rsid w:val="178FEB03"/>
    <w:rsid w:val="186B92EF"/>
    <w:rsid w:val="18CF5048"/>
    <w:rsid w:val="1940C1DB"/>
    <w:rsid w:val="195CA00F"/>
    <w:rsid w:val="195D996D"/>
    <w:rsid w:val="199CA80E"/>
    <w:rsid w:val="19B3030B"/>
    <w:rsid w:val="19B73C71"/>
    <w:rsid w:val="1A1DE14E"/>
    <w:rsid w:val="1A50A5A2"/>
    <w:rsid w:val="1A670C79"/>
    <w:rsid w:val="1B474082"/>
    <w:rsid w:val="1B8C2E99"/>
    <w:rsid w:val="1BA750E7"/>
    <w:rsid w:val="1D61E19C"/>
    <w:rsid w:val="1DB7BB0C"/>
    <w:rsid w:val="1DC9820B"/>
    <w:rsid w:val="1DD22C7C"/>
    <w:rsid w:val="1E0FF81F"/>
    <w:rsid w:val="1E3E756B"/>
    <w:rsid w:val="1E8AD53A"/>
    <w:rsid w:val="1E925C02"/>
    <w:rsid w:val="1EF6049A"/>
    <w:rsid w:val="1FFA2BC4"/>
    <w:rsid w:val="1FFFB013"/>
    <w:rsid w:val="2113C499"/>
    <w:rsid w:val="215B5160"/>
    <w:rsid w:val="21ABABC4"/>
    <w:rsid w:val="21E1B1AA"/>
    <w:rsid w:val="228F6A7B"/>
    <w:rsid w:val="22D386E4"/>
    <w:rsid w:val="2319A143"/>
    <w:rsid w:val="2383C276"/>
    <w:rsid w:val="2388B429"/>
    <w:rsid w:val="23B7DCBA"/>
    <w:rsid w:val="23EFDB23"/>
    <w:rsid w:val="24634347"/>
    <w:rsid w:val="2484F087"/>
    <w:rsid w:val="249FF6DA"/>
    <w:rsid w:val="24C3527C"/>
    <w:rsid w:val="24D50D3D"/>
    <w:rsid w:val="2545A018"/>
    <w:rsid w:val="2553AD1B"/>
    <w:rsid w:val="2572A3EA"/>
    <w:rsid w:val="25D3F2FF"/>
    <w:rsid w:val="26489901"/>
    <w:rsid w:val="264A90C1"/>
    <w:rsid w:val="26DEED18"/>
    <w:rsid w:val="273743E8"/>
    <w:rsid w:val="27CD38C5"/>
    <w:rsid w:val="27D7979C"/>
    <w:rsid w:val="283123BB"/>
    <w:rsid w:val="288B4DDD"/>
    <w:rsid w:val="29496291"/>
    <w:rsid w:val="29CD87E1"/>
    <w:rsid w:val="29EF50BC"/>
    <w:rsid w:val="29EFE325"/>
    <w:rsid w:val="29F2792C"/>
    <w:rsid w:val="2A645A78"/>
    <w:rsid w:val="2AA31777"/>
    <w:rsid w:val="2ACBA05A"/>
    <w:rsid w:val="2AD9CD34"/>
    <w:rsid w:val="2AF12B2E"/>
    <w:rsid w:val="2AFE1E15"/>
    <w:rsid w:val="2B9D894C"/>
    <w:rsid w:val="2C629415"/>
    <w:rsid w:val="2CB3EA21"/>
    <w:rsid w:val="2CC1671F"/>
    <w:rsid w:val="2D10E134"/>
    <w:rsid w:val="2D169D83"/>
    <w:rsid w:val="2D5402E9"/>
    <w:rsid w:val="2D85F88F"/>
    <w:rsid w:val="2DDF9163"/>
    <w:rsid w:val="2E1D59D3"/>
    <w:rsid w:val="2E5D3780"/>
    <w:rsid w:val="2EA8A1B3"/>
    <w:rsid w:val="2F62D4AE"/>
    <w:rsid w:val="2FC7A32E"/>
    <w:rsid w:val="2FD84AAA"/>
    <w:rsid w:val="302D4129"/>
    <w:rsid w:val="3045C85E"/>
    <w:rsid w:val="305647F4"/>
    <w:rsid w:val="31200702"/>
    <w:rsid w:val="314D3755"/>
    <w:rsid w:val="3203EFE4"/>
    <w:rsid w:val="324F48FC"/>
    <w:rsid w:val="32B88EEE"/>
    <w:rsid w:val="332C6C83"/>
    <w:rsid w:val="3330A8A3"/>
    <w:rsid w:val="33389629"/>
    <w:rsid w:val="33B09675"/>
    <w:rsid w:val="35910A74"/>
    <w:rsid w:val="35E3DEAF"/>
    <w:rsid w:val="363DDADF"/>
    <w:rsid w:val="365A0B5C"/>
    <w:rsid w:val="367036EB"/>
    <w:rsid w:val="370786B2"/>
    <w:rsid w:val="376D60AF"/>
    <w:rsid w:val="37DDC092"/>
    <w:rsid w:val="37EC0B19"/>
    <w:rsid w:val="38220780"/>
    <w:rsid w:val="38FD6C5F"/>
    <w:rsid w:val="39992516"/>
    <w:rsid w:val="39AD96E3"/>
    <w:rsid w:val="3A2A4A75"/>
    <w:rsid w:val="3A48CFF7"/>
    <w:rsid w:val="3A63B6FF"/>
    <w:rsid w:val="3A97EFC6"/>
    <w:rsid w:val="3AE2072F"/>
    <w:rsid w:val="3AE93F0C"/>
    <w:rsid w:val="3B2A7FB1"/>
    <w:rsid w:val="3B39B9A6"/>
    <w:rsid w:val="3BE0FFEF"/>
    <w:rsid w:val="3C16551E"/>
    <w:rsid w:val="3C4DB668"/>
    <w:rsid w:val="3CD6617E"/>
    <w:rsid w:val="3D0C7D58"/>
    <w:rsid w:val="3D1DEAB0"/>
    <w:rsid w:val="3D5DAE8B"/>
    <w:rsid w:val="3D6BFE41"/>
    <w:rsid w:val="3D800CF2"/>
    <w:rsid w:val="3D896232"/>
    <w:rsid w:val="3DBA0C8A"/>
    <w:rsid w:val="3E0BD8E2"/>
    <w:rsid w:val="3EBD1D33"/>
    <w:rsid w:val="3EE970AA"/>
    <w:rsid w:val="3F379780"/>
    <w:rsid w:val="3F6AD487"/>
    <w:rsid w:val="40109073"/>
    <w:rsid w:val="40D189EB"/>
    <w:rsid w:val="40F36BA0"/>
    <w:rsid w:val="410025B8"/>
    <w:rsid w:val="4106CDEE"/>
    <w:rsid w:val="413D1FDE"/>
    <w:rsid w:val="4194C907"/>
    <w:rsid w:val="41C15200"/>
    <w:rsid w:val="425849C8"/>
    <w:rsid w:val="42B5276F"/>
    <w:rsid w:val="42DA802B"/>
    <w:rsid w:val="43122E7E"/>
    <w:rsid w:val="432DFCBC"/>
    <w:rsid w:val="43523DDE"/>
    <w:rsid w:val="4365F65B"/>
    <w:rsid w:val="43A6A1BB"/>
    <w:rsid w:val="43BE690D"/>
    <w:rsid w:val="43D1230F"/>
    <w:rsid w:val="44134B63"/>
    <w:rsid w:val="44294E0E"/>
    <w:rsid w:val="4460E716"/>
    <w:rsid w:val="44EA8A54"/>
    <w:rsid w:val="45368AFC"/>
    <w:rsid w:val="45793D8F"/>
    <w:rsid w:val="45AD1135"/>
    <w:rsid w:val="460E7DE5"/>
    <w:rsid w:val="461A27C0"/>
    <w:rsid w:val="47842339"/>
    <w:rsid w:val="48016DDF"/>
    <w:rsid w:val="48185DDB"/>
    <w:rsid w:val="4844AB5C"/>
    <w:rsid w:val="48945806"/>
    <w:rsid w:val="48C510A1"/>
    <w:rsid w:val="4971B1A7"/>
    <w:rsid w:val="49F502F7"/>
    <w:rsid w:val="4A51DD42"/>
    <w:rsid w:val="4A7B3E9E"/>
    <w:rsid w:val="4AC4CA22"/>
    <w:rsid w:val="4AD6929B"/>
    <w:rsid w:val="4B010577"/>
    <w:rsid w:val="4BE68199"/>
    <w:rsid w:val="4C15D40A"/>
    <w:rsid w:val="4C22DE7E"/>
    <w:rsid w:val="4C2E9D7C"/>
    <w:rsid w:val="4CD64746"/>
    <w:rsid w:val="4D637EC4"/>
    <w:rsid w:val="4D837F07"/>
    <w:rsid w:val="4DA2878D"/>
    <w:rsid w:val="4DC84949"/>
    <w:rsid w:val="4DE2D8A5"/>
    <w:rsid w:val="4E13F853"/>
    <w:rsid w:val="4E70AF63"/>
    <w:rsid w:val="4EA55C66"/>
    <w:rsid w:val="4F2A3B8C"/>
    <w:rsid w:val="5022D848"/>
    <w:rsid w:val="505D51FB"/>
    <w:rsid w:val="509499E8"/>
    <w:rsid w:val="50C43A1B"/>
    <w:rsid w:val="50CAACF1"/>
    <w:rsid w:val="515B1403"/>
    <w:rsid w:val="51A95F5C"/>
    <w:rsid w:val="51F5D72A"/>
    <w:rsid w:val="5275EAE9"/>
    <w:rsid w:val="528250BD"/>
    <w:rsid w:val="52A3A7F2"/>
    <w:rsid w:val="52AFBE09"/>
    <w:rsid w:val="53B81CB3"/>
    <w:rsid w:val="5439E32E"/>
    <w:rsid w:val="54834052"/>
    <w:rsid w:val="5486050D"/>
    <w:rsid w:val="548EE91F"/>
    <w:rsid w:val="54D70E14"/>
    <w:rsid w:val="5558B0E4"/>
    <w:rsid w:val="55A30D26"/>
    <w:rsid w:val="55C22057"/>
    <w:rsid w:val="55DB48B4"/>
    <w:rsid w:val="55E5BE7A"/>
    <w:rsid w:val="5690EADC"/>
    <w:rsid w:val="56B90281"/>
    <w:rsid w:val="5751F867"/>
    <w:rsid w:val="57FE694C"/>
    <w:rsid w:val="58186172"/>
    <w:rsid w:val="582D06AA"/>
    <w:rsid w:val="583BAA85"/>
    <w:rsid w:val="58D6A6E4"/>
    <w:rsid w:val="59637BE6"/>
    <w:rsid w:val="59ED7D91"/>
    <w:rsid w:val="59EE04B0"/>
    <w:rsid w:val="59F18210"/>
    <w:rsid w:val="59F9A0A5"/>
    <w:rsid w:val="5A20E714"/>
    <w:rsid w:val="5A3A1B68"/>
    <w:rsid w:val="5A5E75E3"/>
    <w:rsid w:val="5A9BDCA9"/>
    <w:rsid w:val="5AB4497D"/>
    <w:rsid w:val="5AB639B7"/>
    <w:rsid w:val="5AF281D6"/>
    <w:rsid w:val="5B8C6038"/>
    <w:rsid w:val="5C09B97F"/>
    <w:rsid w:val="5C481210"/>
    <w:rsid w:val="5C754263"/>
    <w:rsid w:val="5CDFAEF0"/>
    <w:rsid w:val="5D179630"/>
    <w:rsid w:val="5D66BA5D"/>
    <w:rsid w:val="5D802DD3"/>
    <w:rsid w:val="5D96F0CE"/>
    <w:rsid w:val="5DB239DA"/>
    <w:rsid w:val="5DD64468"/>
    <w:rsid w:val="5DE6EBD9"/>
    <w:rsid w:val="5E83ABFF"/>
    <w:rsid w:val="5EF04D24"/>
    <w:rsid w:val="5FCDCBCD"/>
    <w:rsid w:val="601F7C60"/>
    <w:rsid w:val="604396B8"/>
    <w:rsid w:val="60489EC5"/>
    <w:rsid w:val="61489482"/>
    <w:rsid w:val="61626FCC"/>
    <w:rsid w:val="61F678A0"/>
    <w:rsid w:val="61F88F76"/>
    <w:rsid w:val="6267388D"/>
    <w:rsid w:val="627FE628"/>
    <w:rsid w:val="63944B3D"/>
    <w:rsid w:val="63945FD7"/>
    <w:rsid w:val="63FD05EE"/>
    <w:rsid w:val="642EA1B2"/>
    <w:rsid w:val="64559C1D"/>
    <w:rsid w:val="64A0E2E2"/>
    <w:rsid w:val="64E4C9FA"/>
    <w:rsid w:val="65219C7E"/>
    <w:rsid w:val="6528CCDC"/>
    <w:rsid w:val="6593DDAE"/>
    <w:rsid w:val="66416776"/>
    <w:rsid w:val="66A0BAE6"/>
    <w:rsid w:val="66B2D83C"/>
    <w:rsid w:val="66E27205"/>
    <w:rsid w:val="6724FAB7"/>
    <w:rsid w:val="67DF0279"/>
    <w:rsid w:val="67F0D7AB"/>
    <w:rsid w:val="680FD9C3"/>
    <w:rsid w:val="686AAF38"/>
    <w:rsid w:val="68BBD82B"/>
    <w:rsid w:val="696890E2"/>
    <w:rsid w:val="6A131223"/>
    <w:rsid w:val="6A2CC60B"/>
    <w:rsid w:val="6A7A4237"/>
    <w:rsid w:val="6ABE1890"/>
    <w:rsid w:val="6AF0D8BF"/>
    <w:rsid w:val="6AF70C2A"/>
    <w:rsid w:val="6B1B4B29"/>
    <w:rsid w:val="6B5DEED6"/>
    <w:rsid w:val="6BDBAAB7"/>
    <w:rsid w:val="6BE7ABDD"/>
    <w:rsid w:val="6C4C49C5"/>
    <w:rsid w:val="6C9AF895"/>
    <w:rsid w:val="6CF579DF"/>
    <w:rsid w:val="6D114881"/>
    <w:rsid w:val="6D398FB6"/>
    <w:rsid w:val="6D45BE5E"/>
    <w:rsid w:val="6D4EBD64"/>
    <w:rsid w:val="6D7D4A52"/>
    <w:rsid w:val="6DC298CF"/>
    <w:rsid w:val="6DF52206"/>
    <w:rsid w:val="6E087F86"/>
    <w:rsid w:val="6E0A3DBB"/>
    <w:rsid w:val="6EA902E9"/>
    <w:rsid w:val="6F139538"/>
    <w:rsid w:val="6F52E9CD"/>
    <w:rsid w:val="6F57A45F"/>
    <w:rsid w:val="6F5E6930"/>
    <w:rsid w:val="6FE811A6"/>
    <w:rsid w:val="7059BA82"/>
    <w:rsid w:val="70946706"/>
    <w:rsid w:val="71D72AED"/>
    <w:rsid w:val="71F58AE3"/>
    <w:rsid w:val="71F92AB5"/>
    <w:rsid w:val="720763CF"/>
    <w:rsid w:val="7326C939"/>
    <w:rsid w:val="73A1B900"/>
    <w:rsid w:val="748D29C6"/>
    <w:rsid w:val="74E8CC2E"/>
    <w:rsid w:val="74FF5108"/>
    <w:rsid w:val="7514F5CA"/>
    <w:rsid w:val="751F1680"/>
    <w:rsid w:val="754BEA23"/>
    <w:rsid w:val="75EA2CB6"/>
    <w:rsid w:val="75F36F1D"/>
    <w:rsid w:val="763A6336"/>
    <w:rsid w:val="7664835A"/>
    <w:rsid w:val="76D927EC"/>
    <w:rsid w:val="7734374D"/>
    <w:rsid w:val="77A6BC4E"/>
    <w:rsid w:val="77AE20CE"/>
    <w:rsid w:val="77E23B12"/>
    <w:rsid w:val="77E72CC5"/>
    <w:rsid w:val="77E9C951"/>
    <w:rsid w:val="784C968C"/>
    <w:rsid w:val="78DD6AF1"/>
    <w:rsid w:val="790CAE7A"/>
    <w:rsid w:val="7934D9A9"/>
    <w:rsid w:val="79692500"/>
    <w:rsid w:val="7A204892"/>
    <w:rsid w:val="7AB0E358"/>
    <w:rsid w:val="7AE5C190"/>
    <w:rsid w:val="7B054DA7"/>
    <w:rsid w:val="7BC54341"/>
    <w:rsid w:val="7BD2090C"/>
    <w:rsid w:val="7BEE8FEE"/>
    <w:rsid w:val="7C8191F1"/>
    <w:rsid w:val="7D3F0F53"/>
    <w:rsid w:val="7D473A80"/>
    <w:rsid w:val="7D51398F"/>
    <w:rsid w:val="7D679432"/>
    <w:rsid w:val="7EE28736"/>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hAnsiTheme="majorHAnsi"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hAnsiTheme="majorHAnsi"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hAnsiTheme="majorHAnsi"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sid w:val="008C6A4B"/>
    <w:rPr>
      <w:rFonts w:asciiTheme="majorHAnsi" w:hAnsiTheme="majorHAnsi" w:eastAsiaTheme="majorEastAsia"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hAnsiTheme="majorHAnsi" w:eastAsiaTheme="majorEastAsia" w:cstheme="majorBidi"/>
      <w:b/>
      <w:spacing w:val="-10"/>
      <w:kern w:val="28"/>
      <w:sz w:val="32"/>
      <w:szCs w:val="56"/>
      <w:u w:val="single"/>
    </w:rPr>
  </w:style>
  <w:style w:type="character" w:styleId="Heading1Char" w:customStyle="1">
    <w:name w:val="Heading 1 Char"/>
    <w:basedOn w:val="DefaultParagraphFont"/>
    <w:link w:val="Heading1"/>
    <w:uiPriority w:val="9"/>
    <w:rsid w:val="00DB1939"/>
    <w:rPr>
      <w:rFonts w:asciiTheme="majorHAnsi" w:hAnsiTheme="majorHAnsi" w:eastAsiaTheme="majorEastAsia"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styleId="Heading2Char" w:customStyle="1">
    <w:name w:val="Heading 2 Char"/>
    <w:basedOn w:val="DefaultParagraphFont"/>
    <w:link w:val="Heading2"/>
    <w:uiPriority w:val="9"/>
    <w:rsid w:val="00DB1939"/>
    <w:rPr>
      <w:rFonts w:asciiTheme="majorHAnsi" w:hAnsiTheme="majorHAnsi" w:eastAsiaTheme="majorEastAsia"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C777DC"/>
    <w:rPr>
      <w:rFonts w:asciiTheme="majorHAnsi" w:hAnsiTheme="majorHAnsi" w:eastAsiaTheme="majorEastAsia" w:cstheme="majorBidi"/>
      <w:b/>
      <w:color w:val="000000" w:themeColor="text1"/>
      <w:sz w:val="24"/>
      <w:szCs w:val="24"/>
    </w:rPr>
  </w:style>
  <w:style w:type="character" w:styleId="Heading4Char" w:customStyle="1">
    <w:name w:val="Heading 4 Char"/>
    <w:basedOn w:val="DefaultParagraphFont"/>
    <w:link w:val="Heading4"/>
    <w:uiPriority w:val="9"/>
    <w:rsid w:val="001A6B3E"/>
    <w:rPr>
      <w:rFonts w:asciiTheme="majorHAnsi" w:hAnsiTheme="majorHAnsi" w:eastAsiaTheme="majorEastAsia"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png" Id="R84f3c8e9d55f4b53" /><Relationship Type="http://schemas.openxmlformats.org/officeDocument/2006/relationships/hyperlink" Target="mailto:alexander.mentzer@ndm.ox.ac.uk" TargetMode="External" Id="Rc9d180a6becd41ed" /><Relationship Type="http://schemas.openxmlformats.org/officeDocument/2006/relationships/hyperlink" Target="https://www.well.ox.ac.uk/research/research-groups/mentzer-hill-group" TargetMode="External" Id="R08a90409a7064f84" /><Relationship Type="http://schemas.openxmlformats.org/officeDocument/2006/relationships/hyperlink" Target="https://www.ncbi.nlm.nih.gov/pmc/articles/PMC8983701/" TargetMode="External" Id="R5d107e48323e4d13" /><Relationship Type="http://schemas.openxmlformats.org/officeDocument/2006/relationships/hyperlink" Target="https://www.ncbi.nlm.nih.gov/pmc/articles/PMC8776501/" TargetMode="External" Id="Rb2111c9f204046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D2184-0598-4FF5-B79B-98CDD4847B54}"/>
</file>

<file path=customXml/itemProps2.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16F448-8D82-42A4-BE2A-C6A7334E623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Gavin Band</dc:creator>
  <keywords/>
  <dc:description/>
  <lastModifiedBy>Alexander Mentzer</lastModifiedBy>
  <revision>4</revision>
  <dcterms:created xsi:type="dcterms:W3CDTF">2021-07-01T16:19:00.0000000Z</dcterms:created>
  <dcterms:modified xsi:type="dcterms:W3CDTF">2022-09-15T09:47:05.7612241Z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