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7FD3CFA3" w:rsidRDefault="00AC6D23" w14:paraId="1C117097" w14:textId="4C2C88F0">
      <w:pPr>
        <w:pStyle w:val="Heading2"/>
        <w:rPr>
          <w:sz w:val="32"/>
          <w:szCs w:val="32"/>
        </w:rPr>
      </w:pPr>
      <w:r>
        <w:rPr>
          <w:sz w:val="28"/>
          <w:szCs w:val="28"/>
        </w:rPr>
        <w:t xml:space="preserve">Ellie </w:t>
      </w:r>
      <w:proofErr w:type="spellStart"/>
      <w:r>
        <w:rPr>
          <w:sz w:val="28"/>
          <w:szCs w:val="28"/>
        </w:rPr>
        <w:t>Tzima</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1723D76B" w14:paraId="797766DF" w14:textId="77777777">
        <w:tc>
          <w:tcPr>
            <w:tcW w:w="2546" w:type="dxa"/>
            <w:tcMar/>
          </w:tcPr>
          <w:p w:rsidR="582D06AA" w:rsidP="00DB1939" w:rsidRDefault="005A39D0" w14:paraId="740EF19B" w14:textId="6F620125">
            <w:r w:rsidRPr="001F61AC">
              <w:rPr>
                <w:rFonts w:cstheme="minorHAnsi"/>
                <w:noProof/>
                <w:sz w:val="20"/>
                <w:szCs w:val="20"/>
                <w:lang w:eastAsia="en-GB"/>
              </w:rPr>
              <w:drawing>
                <wp:inline distT="0" distB="0" distL="0" distR="0" wp14:anchorId="75F26E51" wp14:editId="707F1C79">
                  <wp:extent cx="1468139" cy="1466193"/>
                  <wp:effectExtent l="0" t="0" r="0" b="1270"/>
                  <wp:docPr id="20" name="Picture 20" descr="https://www.well.ox.ac.uk/people/ellie-tzima/@@haiku.profiles.portrait/f93e28a49c2b423d9f7a7e7a4b1b7ffb/@@images/image/w1140?c33eac19-ba8e-4208-b18c-3da9f3093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well.ox.ac.uk/people/ellie-tzima/@@haiku.profiles.portrait/f93e28a49c2b423d9f7a7e7a4b1b7ffb/@@images/image/w1140?c33eac19-ba8e-4208-b18c-3da9f3093a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453" cy="1491474"/>
                          </a:xfrm>
                          <a:prstGeom prst="rect">
                            <a:avLst/>
                          </a:prstGeom>
                          <a:noFill/>
                          <a:ln>
                            <a:noFill/>
                          </a:ln>
                        </pic:spPr>
                      </pic:pic>
                    </a:graphicData>
                  </a:graphic>
                </wp:inline>
              </w:drawing>
            </w:r>
          </w:p>
        </w:tc>
        <w:tc>
          <w:tcPr>
            <w:tcW w:w="6469" w:type="dxa"/>
            <w:tcMar/>
            <w:vAlign w:val="center"/>
          </w:tcPr>
          <w:p w:rsidRPr="001F61AC" w:rsidR="00AC6D23" w:rsidP="00AC6D23" w:rsidRDefault="00AC6D23" w14:paraId="47BD9EC8" w14:textId="77777777">
            <w:pPr>
              <w:pStyle w:val="NoSpacing"/>
              <w:rPr>
                <w:rFonts w:cstheme="minorHAnsi"/>
                <w:b/>
                <w:color w:val="000000" w:themeColor="text1"/>
              </w:rPr>
            </w:pPr>
            <w:r w:rsidRPr="001F61AC">
              <w:rPr>
                <w:rFonts w:cstheme="minorHAnsi"/>
                <w:b/>
                <w:color w:val="000000" w:themeColor="text1"/>
              </w:rPr>
              <w:t xml:space="preserve">Professor Ellie </w:t>
            </w:r>
            <w:proofErr w:type="spellStart"/>
            <w:r w:rsidRPr="001F61AC">
              <w:rPr>
                <w:rFonts w:cstheme="minorHAnsi"/>
                <w:b/>
                <w:color w:val="000000" w:themeColor="text1"/>
              </w:rPr>
              <w:t>Tzima</w:t>
            </w:r>
            <w:proofErr w:type="spellEnd"/>
            <w:r w:rsidRPr="001F61AC">
              <w:rPr>
                <w:rFonts w:cstheme="minorHAnsi"/>
                <w:b/>
                <w:color w:val="000000" w:themeColor="text1"/>
              </w:rPr>
              <w:t xml:space="preserve">   </w:t>
            </w:r>
          </w:p>
          <w:p w:rsidRPr="001F61AC" w:rsidR="00AC6D23" w:rsidP="1723D76B" w:rsidRDefault="00AC6D23" w14:paraId="50812BE8" w14:textId="21AF6917">
            <w:pPr>
              <w:pStyle w:val="NoSpacing"/>
              <w:rPr>
                <w:rFonts w:cs="Calibri" w:cstheme="minorAscii"/>
                <w:color w:val="000000" w:themeColor="text1"/>
              </w:rPr>
            </w:pPr>
            <w:r w:rsidRPr="1723D76B" w:rsidR="00AC6D23">
              <w:rPr>
                <w:rFonts w:cs="Calibri" w:cstheme="minorAscii"/>
                <w:b w:val="1"/>
                <w:bCs w:val="1"/>
                <w:color w:val="000000" w:themeColor="text1" w:themeTint="FF" w:themeShade="FF"/>
              </w:rPr>
              <w:t>Titles</w:t>
            </w:r>
            <w:r w:rsidRPr="1723D76B" w:rsidR="00AC6D23">
              <w:rPr>
                <w:rFonts w:cs="Calibri" w:cstheme="minorAscii"/>
                <w:color w:val="000000" w:themeColor="text1" w:themeTint="FF" w:themeShade="FF"/>
              </w:rPr>
              <w:t xml:space="preserve">: Professor of Cardiovascular </w:t>
            </w:r>
            <w:r w:rsidRPr="1723D76B" w:rsidR="1A649856">
              <w:rPr>
                <w:rFonts w:cs="Calibri" w:cstheme="minorAscii"/>
                <w:color w:val="000000" w:themeColor="text1" w:themeTint="FF" w:themeShade="FF"/>
              </w:rPr>
              <w:t>Science</w:t>
            </w:r>
            <w:r w:rsidRPr="1723D76B" w:rsidR="00AC6D23">
              <w:rPr>
                <w:rFonts w:cs="Calibri" w:cstheme="minorAscii"/>
                <w:color w:val="000000" w:themeColor="text1" w:themeTint="FF" w:themeShade="FF"/>
              </w:rPr>
              <w:t xml:space="preserve">, Senior Fellow, </w:t>
            </w:r>
            <w:r w:rsidRPr="1723D76B" w:rsidR="00AC6D23">
              <w:rPr>
                <w:rFonts w:cs="Calibri" w:cstheme="minorAscii"/>
                <w:color w:val="000000" w:themeColor="text1" w:themeTint="FF" w:themeShade="FF"/>
              </w:rPr>
              <w:t xml:space="preserve">Group Leader </w:t>
            </w:r>
            <w:r w:rsidRPr="1723D76B" w:rsidR="00AC6D23">
              <w:rPr>
                <w:rFonts w:cs="Calibri" w:cstheme="minorAscii"/>
                <w:color w:val="000000" w:themeColor="text1" w:themeTint="FF" w:themeShade="FF"/>
              </w:rPr>
              <w:t xml:space="preserve">/ PI </w:t>
            </w:r>
          </w:p>
          <w:p w:rsidRPr="001F61AC" w:rsidR="00AC6D23" w:rsidP="00AC6D23" w:rsidRDefault="00AC6D23" w14:paraId="067E478A" w14:textId="77777777">
            <w:pPr>
              <w:pStyle w:val="NoSpacing"/>
              <w:rPr>
                <w:rFonts w:cstheme="minorHAnsi"/>
                <w:color w:val="000000" w:themeColor="text1"/>
              </w:rPr>
            </w:pPr>
            <w:r w:rsidRPr="001F61AC">
              <w:rPr>
                <w:rFonts w:cstheme="minorHAnsi"/>
                <w:b/>
                <w:color w:val="000000" w:themeColor="text1"/>
              </w:rPr>
              <w:t>Location</w:t>
            </w:r>
            <w:r w:rsidRPr="001F61AC">
              <w:rPr>
                <w:rFonts w:cstheme="minorHAnsi"/>
                <w:color w:val="000000" w:themeColor="text1"/>
              </w:rPr>
              <w:t>: Henry Wellcome Building of Genomic Medicine</w:t>
            </w:r>
          </w:p>
          <w:p w:rsidRPr="001F61AC" w:rsidR="00AC6D23" w:rsidP="00AC6D23" w:rsidRDefault="00AC6D23" w14:paraId="358B2DF5" w14:textId="77777777">
            <w:pPr>
              <w:pStyle w:val="NoSpacing"/>
              <w:rPr>
                <w:rFonts w:cstheme="minorHAnsi"/>
                <w:color w:val="000000" w:themeColor="text1"/>
              </w:rPr>
            </w:pPr>
            <w:r w:rsidRPr="001F61AC">
              <w:rPr>
                <w:rFonts w:cstheme="minorHAnsi"/>
                <w:b/>
                <w:color w:val="000000" w:themeColor="text1"/>
              </w:rPr>
              <w:t>Department</w:t>
            </w:r>
            <w:r w:rsidRPr="001F61AC">
              <w:rPr>
                <w:rFonts w:cstheme="minorHAnsi"/>
                <w:color w:val="000000" w:themeColor="text1"/>
              </w:rPr>
              <w:t xml:space="preserve">: Cardiovascular Medicine </w:t>
            </w:r>
          </w:p>
          <w:p w:rsidRPr="001F61AC" w:rsidR="00AC6D23" w:rsidP="00AC6D23" w:rsidRDefault="00AC6D23" w14:paraId="376EEC04" w14:textId="77777777">
            <w:pPr>
              <w:pStyle w:val="NoSpacing"/>
              <w:rPr>
                <w:rFonts w:cstheme="minorHAnsi"/>
                <w:color w:val="000000" w:themeColor="text1"/>
              </w:rPr>
            </w:pPr>
            <w:r w:rsidRPr="001F61AC">
              <w:rPr>
                <w:rFonts w:cstheme="minorHAnsi"/>
                <w:b/>
                <w:color w:val="000000" w:themeColor="text1"/>
              </w:rPr>
              <w:t>Group</w:t>
            </w:r>
            <w:r w:rsidRPr="001F61AC">
              <w:rPr>
                <w:rFonts w:cstheme="minorHAnsi"/>
                <w:color w:val="000000" w:themeColor="text1"/>
              </w:rPr>
              <w:t xml:space="preserve">: Vascular </w:t>
            </w:r>
            <w:proofErr w:type="spellStart"/>
            <w:r w:rsidRPr="001F61AC">
              <w:rPr>
                <w:rFonts w:cstheme="minorHAnsi"/>
                <w:color w:val="000000" w:themeColor="text1"/>
              </w:rPr>
              <w:t>Mechanotransduction</w:t>
            </w:r>
            <w:proofErr w:type="spellEnd"/>
          </w:p>
          <w:p w:rsidR="00AC6D23" w:rsidP="00AC6D23" w:rsidRDefault="00AC6D23" w14:paraId="35613164" w14:textId="77777777">
            <w:pPr>
              <w:pStyle w:val="NoSpacing"/>
              <w:rPr>
                <w:rFonts w:cstheme="minorHAnsi"/>
                <w:color w:val="000000" w:themeColor="text1"/>
              </w:rPr>
            </w:pPr>
            <w:r w:rsidRPr="001F61AC">
              <w:rPr>
                <w:rFonts w:cstheme="minorHAnsi"/>
                <w:b/>
                <w:color w:val="000000" w:themeColor="text1"/>
              </w:rPr>
              <w:t>Webpage</w:t>
            </w:r>
            <w:r w:rsidRPr="001F61AC">
              <w:rPr>
                <w:rFonts w:cstheme="minorHAnsi"/>
                <w:color w:val="000000" w:themeColor="text1"/>
              </w:rPr>
              <w:t xml:space="preserve">: </w:t>
            </w:r>
            <w:hyperlink w:history="1" r:id="rId11">
              <w:r w:rsidRPr="00C47906">
                <w:rPr>
                  <w:rStyle w:val="Hyperlink"/>
                  <w:rFonts w:cstheme="minorHAnsi"/>
                </w:rPr>
                <w:t>https://www.well.ox.ac.uk/people/ellie-tzima</w:t>
              </w:r>
            </w:hyperlink>
          </w:p>
          <w:p w:rsidR="00904427" w:rsidP="00AC6D23" w:rsidRDefault="00AC6D23" w14:paraId="37A7AF9B" w14:textId="5ED634BE">
            <w:pPr>
              <w:spacing w:line="259" w:lineRule="auto"/>
              <w:rPr>
                <w:rFonts w:ascii="Calibri" w:hAnsi="Calibri" w:eastAsia="Calibri" w:cs="Calibri"/>
              </w:rPr>
            </w:pPr>
            <w:r w:rsidRPr="001F61AC">
              <w:rPr>
                <w:rFonts w:cstheme="minorHAnsi"/>
                <w:b/>
                <w:color w:val="000000" w:themeColor="text1"/>
              </w:rPr>
              <w:t>Email</w:t>
            </w:r>
            <w:r w:rsidRPr="001F61AC">
              <w:rPr>
                <w:rFonts w:cstheme="minorHAnsi"/>
                <w:color w:val="000000" w:themeColor="text1"/>
              </w:rPr>
              <w:t>: ellie@well.ox.ac.uk</w:t>
            </w:r>
          </w:p>
        </w:tc>
      </w:tr>
    </w:tbl>
    <w:p w:rsidR="7FD3CFA3" w:rsidP="7FD3CFA3" w:rsidRDefault="7FD3CFA3" w14:paraId="7D3A9C97" w14:textId="16E14DBD">
      <w:pPr>
        <w:pStyle w:val="Heading3"/>
      </w:pPr>
    </w:p>
    <w:p w:rsidR="6A7A4237" w:rsidP="7FD3CFA3" w:rsidRDefault="6A7A4237" w14:paraId="3E8D01B8" w14:textId="40436F47">
      <w:pPr>
        <w:pStyle w:val="Heading3"/>
      </w:pPr>
      <w:r>
        <w:t xml:space="preserve">GMS themes: </w:t>
      </w:r>
    </w:p>
    <w:p w:rsidR="1E925C02" w:rsidP="7FB932B3" w:rsidRDefault="1E925C02" w14:paraId="596B81AD" w14:textId="19A71332">
      <w:pPr>
        <w:pStyle w:val="Heading3"/>
        <w:rPr>
          <w:rFonts w:ascii="Calibri Light" w:hAnsi="Calibri Light"/>
          <w:color w:val="1F3763"/>
        </w:rPr>
      </w:pPr>
      <w:r w:rsidRPr="7FB932B3">
        <w:t>Research Overview</w:t>
      </w:r>
    </w:p>
    <w:p w:rsidRPr="001F61AC" w:rsidR="00AC6D23" w:rsidP="1723D76B" w:rsidRDefault="00AC6D23" w14:paraId="7EE66AF5" w14:textId="2EBE7423">
      <w:pPr>
        <w:pStyle w:val="NoSpacing"/>
        <w:rPr>
          <w:rFonts w:cs="Calibri" w:cstheme="minorAscii"/>
          <w:color w:val="000000" w:themeColor="text1"/>
        </w:rPr>
      </w:pPr>
      <w:r w:rsidRPr="1723D76B" w:rsidR="00AC6D23">
        <w:rPr>
          <w:rFonts w:cs="Calibri" w:cstheme="minorAscii"/>
          <w:color w:val="000000" w:themeColor="text1" w:themeTint="FF" w:themeShade="FF"/>
        </w:rPr>
        <w:t xml:space="preserve">From the moment the heart starts beating, endothelial cells that line blood vessels are subjected to haemodynamic (or mechanical) forces due to blood flow. Mechanical forces are crucial not only for normal development of the embryonic heart and vascular system, but also play an important role in maintaining homeostasis on the adult organism. Mechanical forces, however, can also be instigators of vascular pathologies, such as atherosclerosis. Our research focuses on the role of </w:t>
      </w:r>
      <w:proofErr w:type="spellStart"/>
      <w:r w:rsidRPr="1723D76B" w:rsidR="00AC6D23">
        <w:rPr>
          <w:rFonts w:cs="Calibri" w:cstheme="minorAscii"/>
          <w:color w:val="000000" w:themeColor="text1" w:themeTint="FF" w:themeShade="FF"/>
        </w:rPr>
        <w:t>mechanotransduction</w:t>
      </w:r>
      <w:proofErr w:type="spellEnd"/>
      <w:r w:rsidRPr="1723D76B" w:rsidR="00AC6D23">
        <w:rPr>
          <w:rFonts w:cs="Calibri" w:cstheme="minorAscii"/>
          <w:color w:val="000000" w:themeColor="text1" w:themeTint="FF" w:themeShade="FF"/>
        </w:rPr>
        <w:t xml:space="preserve"> in regulating cardiovascular function in health and disease. We use a multi-disciplinary approach that includes expertise in bioengineering, molecular and cell </w:t>
      </w:r>
      <w:r w:rsidRPr="1723D76B" w:rsidR="00AC6D23">
        <w:rPr>
          <w:rFonts w:cs="Calibri" w:cstheme="minorAscii"/>
          <w:color w:val="000000" w:themeColor="text1" w:themeTint="FF" w:themeShade="FF"/>
        </w:rPr>
        <w:t>biology</w:t>
      </w:r>
      <w:r w:rsidRPr="1723D76B" w:rsidR="00AC6D23">
        <w:rPr>
          <w:rFonts w:cs="Calibri" w:cstheme="minorAscii"/>
          <w:color w:val="000000" w:themeColor="text1" w:themeTint="FF" w:themeShade="FF"/>
        </w:rPr>
        <w:t xml:space="preserve"> and physiology to understand mechanisms of </w:t>
      </w:r>
      <w:proofErr w:type="spellStart"/>
      <w:r w:rsidRPr="1723D76B" w:rsidR="00AC6D23">
        <w:rPr>
          <w:rFonts w:cs="Calibri" w:cstheme="minorAscii"/>
          <w:color w:val="000000" w:themeColor="text1" w:themeTint="FF" w:themeShade="FF"/>
        </w:rPr>
        <w:t>mechanotransduction</w:t>
      </w:r>
      <w:proofErr w:type="spellEnd"/>
      <w:r w:rsidRPr="1723D76B" w:rsidR="00AC6D23">
        <w:rPr>
          <w:rFonts w:cs="Calibri" w:cstheme="minorAscii"/>
          <w:color w:val="000000" w:themeColor="text1" w:themeTint="FF" w:themeShade="FF"/>
        </w:rPr>
        <w:t>. The aim is not only to understand at a fundamental level how cells sense mechanical force and transduce it into biochemical signalling, but also to identify the molecular mechanisms by which mechanical forces regulate cardiac and vessel function. This should facilitate development of therapeutics that ultimately promote beneficial signalling or disrupt pathological responses. We have recently identified a pathway by which endothelial cells sense and respond to blood flow (</w:t>
      </w:r>
      <w:r w:rsidRPr="1723D76B" w:rsidR="6B34DC6F">
        <w:rPr>
          <w:rFonts w:cs="Calibri" w:cstheme="minorAscii"/>
          <w:color w:val="000000" w:themeColor="text1" w:themeTint="FF" w:themeShade="FF"/>
        </w:rPr>
        <w:t>Mehta</w:t>
      </w:r>
      <w:r w:rsidRPr="1723D76B" w:rsidR="00AC6D23">
        <w:rPr>
          <w:rFonts w:cs="Calibri" w:cstheme="minorAscii"/>
          <w:color w:val="000000" w:themeColor="text1" w:themeTint="FF" w:themeShade="FF"/>
        </w:rPr>
        <w:t xml:space="preserve"> et al, Nature 20</w:t>
      </w:r>
      <w:r w:rsidRPr="1723D76B" w:rsidR="7B07D180">
        <w:rPr>
          <w:rFonts w:cs="Calibri" w:cstheme="minorAscii"/>
          <w:color w:val="000000" w:themeColor="text1" w:themeTint="FF" w:themeShade="FF"/>
        </w:rPr>
        <w:t>20</w:t>
      </w:r>
      <w:r w:rsidRPr="1723D76B" w:rsidR="00AC6D23">
        <w:rPr>
          <w:rFonts w:cs="Calibri" w:cstheme="minorAscii"/>
          <w:color w:val="000000" w:themeColor="text1" w:themeTint="FF" w:themeShade="FF"/>
        </w:rPr>
        <w:t xml:space="preserve">; </w:t>
      </w:r>
      <w:r w:rsidRPr="1723D76B" w:rsidR="4D3F562B">
        <w:rPr>
          <w:rFonts w:cs="Calibri" w:cstheme="minorAscii"/>
          <w:color w:val="000000" w:themeColor="text1" w:themeTint="FF" w:themeShade="FF"/>
        </w:rPr>
        <w:t xml:space="preserve">Mehta </w:t>
      </w:r>
      <w:r w:rsidRPr="1723D76B" w:rsidR="00AC6D23">
        <w:rPr>
          <w:rFonts w:cs="Calibri" w:cstheme="minorAscii"/>
          <w:color w:val="000000" w:themeColor="text1" w:themeTint="FF" w:themeShade="FF"/>
        </w:rPr>
        <w:t>et al,</w:t>
      </w:r>
      <w:r w:rsidRPr="1723D76B" w:rsidR="6D58352E">
        <w:rPr>
          <w:rFonts w:cs="Calibri" w:cstheme="minorAscii"/>
          <w:color w:val="000000" w:themeColor="text1" w:themeTint="FF" w:themeShade="FF"/>
        </w:rPr>
        <w:t xml:space="preserve"> Science Advances 2021</w:t>
      </w:r>
      <w:r w:rsidRPr="1723D76B" w:rsidR="00AC6D23">
        <w:rPr>
          <w:rFonts w:cs="Calibri" w:cstheme="minorAscii"/>
          <w:color w:val="000000" w:themeColor="text1" w:themeTint="FF" w:themeShade="FF"/>
        </w:rPr>
        <w:t xml:space="preserve">) that </w:t>
      </w:r>
      <w:r w:rsidRPr="1723D76B" w:rsidR="23732B3D">
        <w:rPr>
          <w:rFonts w:cs="Calibri" w:cstheme="minorAscii"/>
          <w:color w:val="000000" w:themeColor="text1" w:themeTint="FF" w:themeShade="FF"/>
        </w:rPr>
        <w:t>dictates development of atherosclerosis and cardiovascular disease</w:t>
      </w:r>
      <w:r w:rsidRPr="1723D76B" w:rsidR="00AC6D23">
        <w:rPr>
          <w:rFonts w:cs="Calibri" w:cstheme="minorAscii"/>
          <w:color w:val="000000" w:themeColor="text1" w:themeTint="FF" w:themeShade="FF"/>
        </w:rPr>
        <w:t>. We plan to extend these studies to understand the molecular mechanisms responsible using a combination of in vitro and in vivo approaches.</w:t>
      </w:r>
    </w:p>
    <w:p w:rsidR="00AC6D23" w:rsidP="7FB932B3" w:rsidRDefault="00AC6D23" w14:paraId="23B764DE" w14:textId="77777777">
      <w:pPr>
        <w:rPr>
          <w:rStyle w:val="Heading3Char"/>
        </w:rPr>
      </w:pPr>
    </w:p>
    <w:p w:rsidR="6528CCDC" w:rsidP="7FB932B3" w:rsidRDefault="6528CCDC" w14:paraId="516E7A02" w14:textId="7C26862B">
      <w:r w:rsidRPr="7FB932B3">
        <w:rPr>
          <w:rStyle w:val="Heading3Char"/>
        </w:rPr>
        <w:t>Project areas</w:t>
      </w:r>
      <w:r w:rsidRPr="7FB932B3" w:rsidR="5A9BDCA9">
        <w:rPr>
          <w:rStyle w:val="Heading3Char"/>
        </w:rPr>
        <w:t>:</w:t>
      </w:r>
      <w:r w:rsidRPr="7FB932B3" w:rsidR="63FD05EE">
        <w:t xml:space="preserve"> </w:t>
      </w:r>
      <w:r w:rsidRPr="001F61AC" w:rsidR="00AC6D23">
        <w:rPr>
          <w:rFonts w:cstheme="minorHAnsi"/>
          <w:color w:val="000000" w:themeColor="text1"/>
        </w:rPr>
        <w:t xml:space="preserve">cardiovascular science and molecular, cell &amp; systems biology, </w:t>
      </w:r>
      <w:proofErr w:type="spellStart"/>
      <w:r w:rsidRPr="001F61AC" w:rsidR="00AC6D23">
        <w:rPr>
          <w:rFonts w:cstheme="minorHAnsi"/>
          <w:color w:val="000000" w:themeColor="text1"/>
        </w:rPr>
        <w:t>mechanotransduction</w:t>
      </w:r>
      <w:proofErr w:type="spellEnd"/>
      <w:r w:rsidRPr="001F61AC" w:rsidR="00AC6D23">
        <w:rPr>
          <w:rFonts w:cstheme="minorHAnsi"/>
          <w:color w:val="000000" w:themeColor="text1"/>
        </w:rPr>
        <w:t xml:space="preserve">, shear stress, cardiovascular disease, endothelium, intercellular junctions, integrins, PECAM, Rho GTPases, tRNA synthetases, protein translation, redox </w:t>
      </w:r>
      <w:proofErr w:type="spellStart"/>
      <w:r w:rsidRPr="001F61AC" w:rsidR="00AC6D23">
        <w:rPr>
          <w:rFonts w:cstheme="minorHAnsi"/>
          <w:color w:val="000000" w:themeColor="text1"/>
        </w:rPr>
        <w:t>signaling</w:t>
      </w:r>
      <w:proofErr w:type="spellEnd"/>
      <w:r w:rsidRPr="001F61AC" w:rsidR="00AC6D23">
        <w:rPr>
          <w:rFonts w:cstheme="minorHAnsi"/>
          <w:color w:val="000000" w:themeColor="text1"/>
        </w:rPr>
        <w:t xml:space="preserve">, angiogenesis, vascular </w:t>
      </w:r>
      <w:proofErr w:type="spellStart"/>
      <w:r w:rsidRPr="001F61AC" w:rsidR="00AC6D23">
        <w:rPr>
          <w:rFonts w:cstheme="minorHAnsi"/>
          <w:color w:val="000000" w:themeColor="text1"/>
        </w:rPr>
        <w:t>remodeling</w:t>
      </w:r>
      <w:proofErr w:type="spellEnd"/>
      <w:r w:rsidRPr="001F61AC" w:rsidR="00AC6D23">
        <w:rPr>
          <w:rFonts w:cstheme="minorHAnsi"/>
          <w:color w:val="000000" w:themeColor="text1"/>
        </w:rPr>
        <w:t xml:space="preserve"> and myocardial infarction.</w:t>
      </w:r>
    </w:p>
    <w:p w:rsidR="1E925C02" w:rsidP="7FB932B3" w:rsidRDefault="1E925C02" w14:paraId="6545E0F8" w14:textId="1A6EB5C2">
      <w:pPr>
        <w:pStyle w:val="Heading3"/>
        <w:rPr>
          <w:rFonts w:ascii="Calibri Light" w:hAnsi="Calibri Light"/>
          <w:color w:val="1F3763"/>
        </w:rPr>
      </w:pPr>
      <w:r w:rsidRPr="7FB932B3">
        <w:t>Specific project proposals:</w:t>
      </w:r>
    </w:p>
    <w:p w:rsidR="00AC6D23" w:rsidP="002302D4" w:rsidRDefault="00AC6D23" w14:paraId="3D8BC6CC" w14:textId="77777777">
      <w:pPr>
        <w:pStyle w:val="NoSpacing"/>
      </w:pPr>
    </w:p>
    <w:p w:rsidRPr="002302D4" w:rsidR="002302D4" w:rsidP="002302D4" w:rsidRDefault="29F2792C" w14:paraId="634ADBB8" w14:textId="141D27C7">
      <w:pPr>
        <w:pStyle w:val="NoSpacing"/>
      </w:pPr>
      <w:r>
        <w:t>Please contact directly for further information</w:t>
      </w:r>
      <w:r w:rsidR="47842339">
        <w:t>.</w:t>
      </w:r>
    </w:p>
    <w:p w:rsidR="6E087F86" w:rsidP="6E087F86" w:rsidRDefault="6E087F86" w14:paraId="3B47C247" w14:textId="7C9DE6CD">
      <w:pPr>
        <w:pStyle w:val="NoSpacing"/>
      </w:pPr>
    </w:p>
    <w:p w:rsidR="6E087F86" w:rsidP="7FD3CFA3" w:rsidRDefault="5D179630" w14:paraId="66CF058E" w14:textId="152C921A">
      <w:pPr>
        <w:rPr>
          <w:b/>
          <w:bCs/>
          <w:i/>
          <w:iCs/>
        </w:rPr>
      </w:pPr>
      <w:r w:rsidRPr="7FD3CFA3">
        <w:rPr>
          <w:rStyle w:val="Heading3Char"/>
          <w:rFonts w:asciiTheme="minorHAnsi" w:hAnsiTheme="minorHAnsi" w:eastAsiaTheme="minorEastAsia" w:cstheme="minorBidi"/>
          <w:bCs/>
          <w:i/>
          <w:iCs/>
          <w:sz w:val="22"/>
          <w:szCs w:val="22"/>
        </w:rPr>
        <w:t>These pages were reviewed/updated:</w:t>
      </w:r>
      <w:r w:rsidRPr="7FD3CFA3">
        <w:rPr>
          <w:b/>
          <w:bCs/>
          <w:i/>
          <w:iCs/>
        </w:rPr>
        <w:t xml:space="preserve"> </w:t>
      </w:r>
      <w:r w:rsidR="00AC6D23">
        <w:rPr>
          <w:b/>
          <w:bCs/>
          <w:i/>
          <w:iCs/>
        </w:rPr>
        <w:t>10/06/2022</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Pr="003565FC" w:rsidR="1940C1DB" w:rsidP="1723D76B" w:rsidRDefault="1940C1DB" w14:paraId="0D9DDBEE" w14:textId="722F2D8A">
      <w:pPr>
        <w:pStyle w:val="Heading1"/>
        <w:rPr>
          <w:rStyle w:val="Heading3Char"/>
        </w:rPr>
      </w:pPr>
      <w:r w:rsidRPr="1723D76B" w:rsidR="1940C1DB">
        <w:rPr>
          <w:rStyle w:val="Heading3Char"/>
          <w:b w:val="1"/>
          <w:bCs w:val="1"/>
        </w:rPr>
        <w:t>Title</w:t>
      </w:r>
      <w:r w:rsidRPr="1723D76B" w:rsidR="1940C1DB">
        <w:rPr>
          <w:rStyle w:val="Heading3Char"/>
        </w:rPr>
        <w:t>:</w:t>
      </w:r>
      <w:r w:rsidRPr="1723D76B" w:rsidR="003565FC">
        <w:rPr>
          <w:rStyle w:val="Heading3Char"/>
        </w:rPr>
        <w:t xml:space="preserve"> </w:t>
      </w:r>
      <w:r w:rsidRPr="1723D76B" w:rsidR="02C59DD6">
        <w:rPr>
          <w:rStyle w:val="Heading3Char"/>
        </w:rPr>
        <w:t xml:space="preserve">How do cells respond to mechanical forces? </w:t>
      </w:r>
    </w:p>
    <w:p w:rsidR="1940C1DB" w:rsidP="1723D76B" w:rsidRDefault="1940C1DB" w14:paraId="57333F8E" w14:textId="2BCB510F">
      <w:pPr>
        <w:pStyle w:val="Normal"/>
        <w:bidi w:val="0"/>
        <w:spacing w:before="0" w:beforeAutospacing="off" w:after="160" w:afterAutospacing="off" w:line="259" w:lineRule="auto"/>
        <w:ind w:left="0" w:right="0"/>
        <w:jc w:val="left"/>
        <w:rPr>
          <w:rFonts w:ascii="Calibri" w:hAnsi="Calibri" w:eastAsia="Calibri" w:cs="Calibri"/>
        </w:rPr>
      </w:pPr>
      <w:r w:rsidRPr="1723D76B" w:rsidR="1940C1DB">
        <w:rPr>
          <w:rStyle w:val="Heading3Char"/>
        </w:rPr>
        <w:t>Supervisors:</w:t>
      </w:r>
      <w:r w:rsidRPr="1723D76B" w:rsidR="1940C1DB">
        <w:rPr>
          <w:rFonts w:ascii="Calibri" w:hAnsi="Calibri" w:eastAsia="Calibri" w:cs="Calibri"/>
        </w:rPr>
        <w:t xml:space="preserve"> </w:t>
      </w:r>
      <w:r w:rsidRPr="1723D76B" w:rsidR="474CE749">
        <w:rPr>
          <w:rFonts w:ascii="Calibri" w:hAnsi="Calibri" w:eastAsia="Calibri" w:cs="Calibri"/>
        </w:rPr>
        <w:t>Professor Ellie Tzima, Professor John Reader, Dr Vedanta Mehta</w:t>
      </w:r>
    </w:p>
    <w:p w:rsidR="3B39B9A6" w:rsidP="7FB932B3" w:rsidRDefault="4365F65B" w14:paraId="67993BAE" w14:textId="0ACE2DA6">
      <w:pPr>
        <w:rPr>
          <w:rFonts w:ascii="Calibri" w:hAnsi="Calibri" w:eastAsia="Calibri" w:cs="Calibri"/>
        </w:rPr>
      </w:pPr>
      <w:r w:rsidRPr="1723D76B" w:rsidR="4365F65B">
        <w:rPr>
          <w:rStyle w:val="Heading3Char"/>
        </w:rPr>
        <w:t>Wet/d</w:t>
      </w:r>
      <w:r w:rsidRPr="1723D76B" w:rsidR="49F502F7">
        <w:rPr>
          <w:rStyle w:val="Heading3Char"/>
        </w:rPr>
        <w:t>ry</w:t>
      </w:r>
      <w:r w:rsidRPr="1723D76B" w:rsidR="5751F867">
        <w:rPr>
          <w:rStyle w:val="Heading3Char"/>
        </w:rPr>
        <w:t xml:space="preserve"> </w:t>
      </w:r>
      <w:r w:rsidRPr="1723D76B" w:rsidR="49F502F7">
        <w:rPr>
          <w:rStyle w:val="Heading3Char"/>
        </w:rPr>
        <w:t>lab mix</w:t>
      </w:r>
      <w:r w:rsidRPr="1723D76B" w:rsidR="52AFBE09">
        <w:rPr>
          <w:rStyle w:val="Heading3Char"/>
        </w:rPr>
        <w:t xml:space="preserve"> (</w:t>
      </w:r>
      <w:proofErr w:type="spellStart"/>
      <w:r w:rsidRPr="1723D76B" w:rsidR="52AFBE09">
        <w:rPr>
          <w:rStyle w:val="Heading3Char"/>
        </w:rPr>
        <w:t>approx</w:t>
      </w:r>
      <w:proofErr w:type="spellEnd"/>
      <w:r w:rsidRPr="1723D76B" w:rsidR="52AFBE09">
        <w:rPr>
          <w:rStyle w:val="Heading3Char"/>
        </w:rPr>
        <w:t>)</w:t>
      </w:r>
      <w:r w:rsidRPr="1723D76B" w:rsidR="49F502F7">
        <w:rPr>
          <w:rFonts w:ascii="Calibri" w:hAnsi="Calibri" w:eastAsia="Calibri" w:cs="Calibri"/>
        </w:rPr>
        <w:t xml:space="preserve">: </w:t>
      </w:r>
      <w:r w:rsidRPr="1723D76B" w:rsidR="687EA6D2">
        <w:rPr>
          <w:rFonts w:ascii="Calibri" w:hAnsi="Calibri" w:eastAsia="Calibri" w:cs="Calibri"/>
        </w:rPr>
        <w:t>80% wet/ 20% dry</w:t>
      </w:r>
    </w:p>
    <w:p w:rsidR="00C777DC" w:rsidP="00C777DC" w:rsidRDefault="1940C1DB" w14:paraId="01CDB6E8" w14:textId="77777777">
      <w:pPr>
        <w:pStyle w:val="Heading3"/>
      </w:pPr>
      <w:r w:rsidR="1940C1DB">
        <w:rPr/>
        <w:t>Description</w:t>
      </w:r>
      <w:r w:rsidR="008C6A4B">
        <w:rPr/>
        <w:t>:</w:t>
      </w:r>
    </w:p>
    <w:p w:rsidR="47D1196B" w:rsidP="1723D76B" w:rsidRDefault="47D1196B" w14:paraId="0956A413" w14:textId="02413C3D">
      <w:pPr>
        <w:ind w:firstLine="567"/>
        <w:jc w:val="both"/>
        <w:rPr>
          <w:rFonts w:ascii="Arial" w:hAnsi="Arial" w:eastAsia="Arial" w:cs="Arial"/>
          <w:noProof w:val="0"/>
          <w:color w:val="000000" w:themeColor="text1" w:themeTint="FF" w:themeShade="FF"/>
          <w:sz w:val="22"/>
          <w:szCs w:val="22"/>
          <w:lang w:val="en-GB"/>
        </w:rPr>
      </w:pPr>
      <w:r w:rsidRPr="1723D76B" w:rsidR="47D1196B">
        <w:rPr>
          <w:rFonts w:ascii="Arial" w:hAnsi="Arial" w:eastAsia="Arial" w:cs="Arial"/>
          <w:noProof w:val="0"/>
          <w:color w:val="000000" w:themeColor="text1" w:themeTint="FF" w:themeShade="FF"/>
          <w:sz w:val="22"/>
          <w:szCs w:val="22"/>
          <w:lang w:val="en-GB"/>
        </w:rPr>
        <w:t xml:space="preserve">Cells are constantly exposed to forces that dictate their function. In blood vessels, endothelial cells that line arteries are exposed to forces due to flowing blood; these forces are critical determinants of </w:t>
      </w:r>
      <w:r w:rsidRPr="1723D76B" w:rsidR="5F61DAD1">
        <w:rPr>
          <w:rFonts w:ascii="Arial" w:hAnsi="Arial" w:eastAsia="Arial" w:cs="Arial"/>
          <w:noProof w:val="0"/>
          <w:color w:val="000000" w:themeColor="text1" w:themeTint="FF" w:themeShade="FF"/>
          <w:sz w:val="22"/>
          <w:szCs w:val="22"/>
          <w:lang w:val="en-GB"/>
        </w:rPr>
        <w:t xml:space="preserve">their </w:t>
      </w:r>
      <w:proofErr w:type="spellStart"/>
      <w:r w:rsidRPr="1723D76B" w:rsidR="5F61DAD1">
        <w:rPr>
          <w:rFonts w:ascii="Arial" w:hAnsi="Arial" w:eastAsia="Arial" w:cs="Arial"/>
          <w:noProof w:val="0"/>
          <w:color w:val="000000" w:themeColor="text1" w:themeTint="FF" w:themeShade="FF"/>
          <w:sz w:val="22"/>
          <w:szCs w:val="22"/>
          <w:lang w:val="en-GB"/>
        </w:rPr>
        <w:t>physiologial</w:t>
      </w:r>
      <w:proofErr w:type="spellEnd"/>
      <w:r w:rsidRPr="1723D76B" w:rsidR="5F61DAD1">
        <w:rPr>
          <w:rFonts w:ascii="Arial" w:hAnsi="Arial" w:eastAsia="Arial" w:cs="Arial"/>
          <w:noProof w:val="0"/>
          <w:color w:val="000000" w:themeColor="text1" w:themeTint="FF" w:themeShade="FF"/>
          <w:sz w:val="22"/>
          <w:szCs w:val="22"/>
          <w:lang w:val="en-GB"/>
        </w:rPr>
        <w:t xml:space="preserve"> functions but can also instigate development of diseases, such as atherosclerotic </w:t>
      </w:r>
      <w:r w:rsidRPr="1723D76B" w:rsidR="4B1F9F98">
        <w:rPr>
          <w:rFonts w:ascii="Arial" w:hAnsi="Arial" w:eastAsia="Arial" w:cs="Arial"/>
          <w:noProof w:val="0"/>
          <w:color w:val="000000" w:themeColor="text1" w:themeTint="FF" w:themeShade="FF"/>
          <w:sz w:val="22"/>
          <w:szCs w:val="22"/>
          <w:lang w:val="en-GB"/>
        </w:rPr>
        <w:t xml:space="preserve">plaques and cardiovascular disease. The mechanisms by which cells sense and respond to mechanical forces is a mystery in biology and has implications in </w:t>
      </w:r>
      <w:proofErr w:type="gramStart"/>
      <w:r w:rsidRPr="1723D76B" w:rsidR="4B1F9F98">
        <w:rPr>
          <w:rFonts w:ascii="Arial" w:hAnsi="Arial" w:eastAsia="Arial" w:cs="Arial"/>
          <w:noProof w:val="0"/>
          <w:color w:val="000000" w:themeColor="text1" w:themeTint="FF" w:themeShade="FF"/>
          <w:sz w:val="22"/>
          <w:szCs w:val="22"/>
          <w:lang w:val="en-GB"/>
        </w:rPr>
        <w:t>a number of</w:t>
      </w:r>
      <w:proofErr w:type="gramEnd"/>
      <w:r w:rsidRPr="1723D76B" w:rsidR="4B1F9F98">
        <w:rPr>
          <w:rFonts w:ascii="Arial" w:hAnsi="Arial" w:eastAsia="Arial" w:cs="Arial"/>
          <w:noProof w:val="0"/>
          <w:color w:val="000000" w:themeColor="text1" w:themeTint="FF" w:themeShade="FF"/>
          <w:sz w:val="22"/>
          <w:szCs w:val="22"/>
          <w:lang w:val="en-GB"/>
        </w:rPr>
        <w:t xml:space="preserve"> diseases, including cancer, im</w:t>
      </w:r>
      <w:r w:rsidRPr="1723D76B" w:rsidR="2A721231">
        <w:rPr>
          <w:rFonts w:ascii="Arial" w:hAnsi="Arial" w:eastAsia="Arial" w:cs="Arial"/>
          <w:noProof w:val="0"/>
          <w:color w:val="000000" w:themeColor="text1" w:themeTint="FF" w:themeShade="FF"/>
          <w:sz w:val="22"/>
          <w:szCs w:val="22"/>
          <w:lang w:val="en-GB"/>
        </w:rPr>
        <w:t>mune cell dysfunctions and neurobiology. We have bespoke in vitro systems that allow us to apply different forces on cultured cells and complement these studies wi</w:t>
      </w:r>
      <w:r w:rsidRPr="1723D76B" w:rsidR="01A8ECAF">
        <w:rPr>
          <w:rFonts w:ascii="Arial" w:hAnsi="Arial" w:eastAsia="Arial" w:cs="Arial"/>
          <w:noProof w:val="0"/>
          <w:color w:val="000000" w:themeColor="text1" w:themeTint="FF" w:themeShade="FF"/>
          <w:sz w:val="22"/>
          <w:szCs w:val="22"/>
          <w:lang w:val="en-GB"/>
        </w:rPr>
        <w:t xml:space="preserve">th transgenic mouse models in vivo. We generate large datasets from RNA sequencing and proteomics with the </w:t>
      </w:r>
      <w:proofErr w:type="gramStart"/>
      <w:r w:rsidRPr="1723D76B" w:rsidR="01A8ECAF">
        <w:rPr>
          <w:rFonts w:ascii="Arial" w:hAnsi="Arial" w:eastAsia="Arial" w:cs="Arial"/>
          <w:noProof w:val="0"/>
          <w:color w:val="000000" w:themeColor="text1" w:themeTint="FF" w:themeShade="FF"/>
          <w:sz w:val="22"/>
          <w:szCs w:val="22"/>
          <w:lang w:val="en-GB"/>
        </w:rPr>
        <w:t>ultimate goal</w:t>
      </w:r>
      <w:proofErr w:type="gramEnd"/>
      <w:r w:rsidRPr="1723D76B" w:rsidR="01A8ECAF">
        <w:rPr>
          <w:rFonts w:ascii="Arial" w:hAnsi="Arial" w:eastAsia="Arial" w:cs="Arial"/>
          <w:noProof w:val="0"/>
          <w:color w:val="000000" w:themeColor="text1" w:themeTint="FF" w:themeShade="FF"/>
          <w:sz w:val="22"/>
          <w:szCs w:val="22"/>
          <w:lang w:val="en-GB"/>
        </w:rPr>
        <w:t xml:space="preserve"> of understanding at the genetic, molecular and </w:t>
      </w:r>
      <w:r w:rsidRPr="1723D76B" w:rsidR="486969FB">
        <w:rPr>
          <w:rFonts w:ascii="Arial" w:hAnsi="Arial" w:eastAsia="Arial" w:cs="Arial"/>
          <w:noProof w:val="0"/>
          <w:color w:val="000000" w:themeColor="text1" w:themeTint="FF" w:themeShade="FF"/>
          <w:sz w:val="22"/>
          <w:szCs w:val="22"/>
          <w:lang w:val="en-GB"/>
        </w:rPr>
        <w:t xml:space="preserve">physiological level how cells respond to forces. </w:t>
      </w:r>
      <w:r w:rsidRPr="1723D76B" w:rsidR="01A8ECAF">
        <w:rPr>
          <w:rFonts w:ascii="Arial" w:hAnsi="Arial" w:eastAsia="Arial" w:cs="Arial"/>
          <w:noProof w:val="0"/>
          <w:color w:val="000000" w:themeColor="text1" w:themeTint="FF" w:themeShade="FF"/>
          <w:sz w:val="22"/>
          <w:szCs w:val="22"/>
          <w:lang w:val="en-GB"/>
        </w:rPr>
        <w:t xml:space="preserve"> </w:t>
      </w:r>
    </w:p>
    <w:p w:rsidR="1940C1DB" w:rsidP="7FB932B3" w:rsidRDefault="1940C1DB" w14:paraId="05006781" w14:textId="3AAC1F69">
      <w:pPr>
        <w:pStyle w:val="Heading3"/>
        <w:rPr>
          <w:rFonts w:ascii="Calibri Light" w:hAnsi="Calibri Light"/>
          <w:color w:val="1F3763"/>
        </w:rPr>
      </w:pPr>
      <w:r w:rsidR="1940C1DB">
        <w:rPr/>
        <w:t>Training Opportunities</w:t>
      </w:r>
      <w:r w:rsidR="008C6A4B">
        <w:rPr/>
        <w:t>:</w:t>
      </w:r>
    </w:p>
    <w:p w:rsidR="27BBDC94" w:rsidP="1723D76B" w:rsidRDefault="27BBDC94" w14:paraId="6B143C1A" w14:textId="63174724">
      <w:pPr>
        <w:ind w:firstLine="567"/>
        <w:jc w:val="both"/>
      </w:pPr>
      <w:r w:rsidRPr="1723D76B" w:rsidR="27BBDC94">
        <w:rPr>
          <w:rFonts w:ascii="Arial" w:hAnsi="Arial" w:eastAsia="Arial" w:cs="Arial"/>
          <w:noProof w:val="0"/>
          <w:color w:val="000000" w:themeColor="text1" w:themeTint="FF" w:themeShade="FF"/>
          <w:sz w:val="22"/>
          <w:szCs w:val="22"/>
          <w:lang w:val="en-GB"/>
        </w:rPr>
        <w:t xml:space="preserve">The DPhil will be based at the </w:t>
      </w:r>
      <w:proofErr w:type="spellStart"/>
      <w:r w:rsidRPr="1723D76B" w:rsidR="27BBDC94">
        <w:rPr>
          <w:rFonts w:ascii="Arial" w:hAnsi="Arial" w:eastAsia="Arial" w:cs="Arial"/>
          <w:noProof w:val="0"/>
          <w:color w:val="000000" w:themeColor="text1" w:themeTint="FF" w:themeShade="FF"/>
          <w:sz w:val="22"/>
          <w:szCs w:val="22"/>
          <w:lang w:val="en-GB"/>
        </w:rPr>
        <w:t>Wellcome</w:t>
      </w:r>
      <w:proofErr w:type="spellEnd"/>
      <w:r w:rsidRPr="1723D76B" w:rsidR="27BBDC94">
        <w:rPr>
          <w:rFonts w:ascii="Arial" w:hAnsi="Arial" w:eastAsia="Arial" w:cs="Arial"/>
          <w:noProof w:val="0"/>
          <w:color w:val="000000" w:themeColor="text1" w:themeTint="FF" w:themeShade="FF"/>
          <w:sz w:val="22"/>
          <w:szCs w:val="22"/>
          <w:lang w:val="en-GB"/>
        </w:rPr>
        <w:t xml:space="preserve"> Centre for Human Genetics. The student will get to experience and learn a wide array of </w:t>
      </w:r>
      <w:r w:rsidRPr="1723D76B" w:rsidR="27BBDC94">
        <w:rPr>
          <w:rFonts w:ascii="Arial" w:hAnsi="Arial" w:eastAsia="Arial" w:cs="Arial"/>
          <w:i w:val="1"/>
          <w:iCs w:val="1"/>
          <w:noProof w:val="0"/>
          <w:color w:val="000000" w:themeColor="text1" w:themeTint="FF" w:themeShade="FF"/>
          <w:sz w:val="22"/>
          <w:szCs w:val="22"/>
          <w:lang w:val="en-GB"/>
        </w:rPr>
        <w:t>in vitro</w:t>
      </w:r>
      <w:r w:rsidRPr="1723D76B" w:rsidR="27BBDC94">
        <w:rPr>
          <w:rFonts w:ascii="Arial" w:hAnsi="Arial" w:eastAsia="Arial" w:cs="Arial"/>
          <w:noProof w:val="0"/>
          <w:color w:val="000000" w:themeColor="text1" w:themeTint="FF" w:themeShade="FF"/>
          <w:sz w:val="22"/>
          <w:szCs w:val="22"/>
          <w:lang w:val="en-GB"/>
        </w:rPr>
        <w:t xml:space="preserve"> and in </w:t>
      </w:r>
      <w:r w:rsidRPr="1723D76B" w:rsidR="27BBDC94">
        <w:rPr>
          <w:rFonts w:ascii="Arial" w:hAnsi="Arial" w:eastAsia="Arial" w:cs="Arial"/>
          <w:i w:val="1"/>
          <w:iCs w:val="1"/>
          <w:noProof w:val="0"/>
          <w:color w:val="000000" w:themeColor="text1" w:themeTint="FF" w:themeShade="FF"/>
          <w:sz w:val="22"/>
          <w:szCs w:val="22"/>
          <w:lang w:val="en-GB"/>
        </w:rPr>
        <w:t xml:space="preserve">vivo </w:t>
      </w:r>
      <w:r w:rsidRPr="1723D76B" w:rsidR="27BBDC94">
        <w:rPr>
          <w:rFonts w:ascii="Arial" w:hAnsi="Arial" w:eastAsia="Arial" w:cs="Arial"/>
          <w:i w:val="0"/>
          <w:iCs w:val="0"/>
          <w:noProof w:val="0"/>
          <w:color w:val="000000" w:themeColor="text1" w:themeTint="FF" w:themeShade="FF"/>
          <w:sz w:val="22"/>
          <w:szCs w:val="22"/>
          <w:lang w:val="en-GB"/>
        </w:rPr>
        <w:t>techniques. These include cell culture, transfections, western blotting, co-immunoprecipitation, qPCR, dissection of animal tissue, staining, confocal microscopy and analysis of RNA sequencing and mass spec proteomic data. Training in scientific writing and presentation skills will be provided, and writing of reviews and presentation at conferences will be strongly encouraged.</w:t>
      </w:r>
    </w:p>
    <w:p w:rsidR="1723D76B" w:rsidP="1723D76B" w:rsidRDefault="1723D76B" w14:paraId="0E48D4BF" w14:textId="6F749023">
      <w:pPr>
        <w:pStyle w:val="Normal"/>
        <w:rPr>
          <w:rFonts w:ascii="Calibri" w:hAnsi="Calibri" w:eastAsia="Calibri" w:cs="Calibri"/>
        </w:rPr>
      </w:pPr>
    </w:p>
    <w:p w:rsidR="1940C1DB" w:rsidP="7FB932B3" w:rsidRDefault="1940C1DB" w14:paraId="078FB80D" w14:textId="01621EA4">
      <w:pPr>
        <w:pStyle w:val="Heading3"/>
        <w:rPr>
          <w:rFonts w:ascii="Calibri Light" w:hAnsi="Calibri Light"/>
          <w:color w:val="1F3763"/>
        </w:rPr>
      </w:pPr>
      <w:r w:rsidRPr="7FB932B3">
        <w:t>Background reading</w:t>
      </w:r>
      <w:r w:rsidRPr="7FB932B3" w:rsidR="22D386E4">
        <w:t xml:space="preserve"> / references</w:t>
      </w:r>
      <w:r w:rsidR="00C777DC">
        <w:t>:</w:t>
      </w:r>
    </w:p>
    <w:p w:rsidR="65219C7E" w:rsidP="7FB932B3" w:rsidRDefault="65219C7E" w14:paraId="3BDBAA55" w14:textId="57EE00A6">
      <w:r w:rsidR="65219C7E">
        <w:rPr/>
        <w:t xml:space="preserve">Please include references </w:t>
      </w:r>
      <w:r w:rsidR="003A41D2">
        <w:rPr/>
        <w:t>as desired.  Suggested</w:t>
      </w:r>
      <w:r w:rsidR="65219C7E">
        <w:rPr/>
        <w:t xml:space="preserve"> format:</w:t>
      </w:r>
    </w:p>
    <w:p w:rsidR="0D74E591" w:rsidP="1723D76B" w:rsidRDefault="0D74E591" w14:paraId="6F14588E" w14:textId="0450B649">
      <w:pPr>
        <w:pStyle w:val="ListParagraph"/>
        <w:numPr>
          <w:ilvl w:val="0"/>
          <w:numId w:val="11"/>
        </w:numPr>
        <w:rPr>
          <w:rFonts w:ascii="Calibri" w:hAnsi="Calibri" w:eastAsia="Calibri" w:cs="Calibri"/>
          <w:noProof w:val="0"/>
          <w:color w:val="000000" w:themeColor="text1" w:themeTint="FF" w:themeShade="FF"/>
          <w:sz w:val="22"/>
          <w:szCs w:val="22"/>
          <w:lang w:val="en-US"/>
        </w:rPr>
      </w:pPr>
      <w:r w:rsidRPr="1723D76B" w:rsidR="0D74E591">
        <w:rPr>
          <w:rFonts w:ascii="Calibri" w:hAnsi="Calibri" w:eastAsia="Calibri" w:cs="Calibri"/>
          <w:noProof w:val="0"/>
          <w:color w:val="000000" w:themeColor="text1" w:themeTint="FF" w:themeShade="FF"/>
          <w:sz w:val="22"/>
          <w:szCs w:val="22"/>
          <w:lang w:val="en-US"/>
        </w:rPr>
        <w:t>1          Mehta, V.</w:t>
      </w:r>
      <w:r w:rsidRPr="1723D76B" w:rsidR="0D74E591">
        <w:rPr>
          <w:rFonts w:ascii="Calibri" w:hAnsi="Calibri" w:eastAsia="Calibri" w:cs="Calibri"/>
          <w:i w:val="1"/>
          <w:iCs w:val="1"/>
          <w:noProof w:val="0"/>
          <w:color w:val="000000" w:themeColor="text1" w:themeTint="FF" w:themeShade="FF"/>
          <w:sz w:val="22"/>
          <w:szCs w:val="22"/>
          <w:lang w:val="en-US"/>
        </w:rPr>
        <w:t xml:space="preserve"> et al.</w:t>
      </w:r>
      <w:r w:rsidRPr="1723D76B" w:rsidR="0D74E591">
        <w:rPr>
          <w:rFonts w:ascii="Calibri" w:hAnsi="Calibri" w:eastAsia="Calibri" w:cs="Calibri"/>
          <w:noProof w:val="0"/>
          <w:color w:val="000000" w:themeColor="text1" w:themeTint="FF" w:themeShade="FF"/>
          <w:sz w:val="22"/>
          <w:szCs w:val="22"/>
          <w:lang w:val="en-US"/>
        </w:rPr>
        <w:t xml:space="preserve"> Mechanical forces regulate endothelial-to-mesenchymal transition and atherosclerosis via an Alk5-Shc mechanotransduction pathway. </w:t>
      </w:r>
      <w:r w:rsidRPr="1723D76B" w:rsidR="0D74E591">
        <w:rPr>
          <w:rFonts w:ascii="Calibri" w:hAnsi="Calibri" w:eastAsia="Calibri" w:cs="Calibri"/>
          <w:i w:val="1"/>
          <w:iCs w:val="1"/>
          <w:noProof w:val="0"/>
          <w:color w:val="000000" w:themeColor="text1" w:themeTint="FF" w:themeShade="FF"/>
          <w:sz w:val="22"/>
          <w:szCs w:val="22"/>
          <w:lang w:val="en-US"/>
        </w:rPr>
        <w:t>Sci Adv</w:t>
      </w:r>
      <w:r w:rsidRPr="1723D76B" w:rsidR="0D74E591">
        <w:rPr>
          <w:rFonts w:ascii="Calibri" w:hAnsi="Calibri" w:eastAsia="Calibri" w:cs="Calibri"/>
          <w:noProof w:val="0"/>
          <w:color w:val="000000" w:themeColor="text1" w:themeTint="FF" w:themeShade="FF"/>
          <w:sz w:val="22"/>
          <w:szCs w:val="22"/>
          <w:lang w:val="en-US"/>
        </w:rPr>
        <w:t xml:space="preserve"> </w:t>
      </w:r>
      <w:r w:rsidRPr="1723D76B" w:rsidR="0D74E591">
        <w:rPr>
          <w:rFonts w:ascii="Calibri" w:hAnsi="Calibri" w:eastAsia="Calibri" w:cs="Calibri"/>
          <w:b w:val="1"/>
          <w:bCs w:val="1"/>
          <w:noProof w:val="0"/>
          <w:color w:val="000000" w:themeColor="text1" w:themeTint="FF" w:themeShade="FF"/>
          <w:sz w:val="22"/>
          <w:szCs w:val="22"/>
          <w:lang w:val="en-US"/>
        </w:rPr>
        <w:t>7</w:t>
      </w:r>
      <w:r w:rsidRPr="1723D76B" w:rsidR="0D74E591">
        <w:rPr>
          <w:rFonts w:ascii="Calibri" w:hAnsi="Calibri" w:eastAsia="Calibri" w:cs="Calibri"/>
          <w:noProof w:val="0"/>
          <w:color w:val="000000" w:themeColor="text1" w:themeTint="FF" w:themeShade="FF"/>
          <w:sz w:val="22"/>
          <w:szCs w:val="22"/>
          <w:lang w:val="en-US"/>
        </w:rPr>
        <w:t>, doi:10.1126/sciadv.abg5060 (2021).</w:t>
      </w:r>
    </w:p>
    <w:p w:rsidR="0D74E591" w:rsidP="1723D76B" w:rsidRDefault="0D74E591" w14:paraId="04EE0631" w14:textId="5F3374AF">
      <w:pPr>
        <w:numPr>
          <w:ilvl w:val="0"/>
          <w:numId w:val="11"/>
        </w:numPr>
        <w:rPr>
          <w:rFonts w:ascii="Calibri" w:hAnsi="Calibri" w:eastAsia="Calibri" w:cs="Calibri"/>
          <w:noProof w:val="0"/>
          <w:color w:val="000000" w:themeColor="text1" w:themeTint="FF" w:themeShade="FF"/>
          <w:sz w:val="22"/>
          <w:szCs w:val="22"/>
          <w:lang w:val="en-US"/>
        </w:rPr>
      </w:pPr>
      <w:r w:rsidRPr="1723D76B" w:rsidR="0D74E591">
        <w:rPr>
          <w:rFonts w:ascii="Calibri" w:hAnsi="Calibri" w:eastAsia="Calibri" w:cs="Calibri"/>
          <w:noProof w:val="0"/>
          <w:color w:val="000000" w:themeColor="text1" w:themeTint="FF" w:themeShade="FF"/>
          <w:sz w:val="22"/>
          <w:szCs w:val="22"/>
          <w:lang w:val="en-US"/>
        </w:rPr>
        <w:t>2          Sweet, D. T.</w:t>
      </w:r>
      <w:r w:rsidRPr="1723D76B" w:rsidR="0D74E591">
        <w:rPr>
          <w:rFonts w:ascii="Calibri" w:hAnsi="Calibri" w:eastAsia="Calibri" w:cs="Calibri"/>
          <w:i w:val="1"/>
          <w:iCs w:val="1"/>
          <w:noProof w:val="0"/>
          <w:color w:val="000000" w:themeColor="text1" w:themeTint="FF" w:themeShade="FF"/>
          <w:sz w:val="22"/>
          <w:szCs w:val="22"/>
          <w:lang w:val="en-US"/>
        </w:rPr>
        <w:t xml:space="preserve"> et al.</w:t>
      </w:r>
      <w:r w:rsidRPr="1723D76B" w:rsidR="0D74E591">
        <w:rPr>
          <w:rFonts w:ascii="Calibri" w:hAnsi="Calibri" w:eastAsia="Calibri" w:cs="Calibri"/>
          <w:noProof w:val="0"/>
          <w:color w:val="000000" w:themeColor="text1" w:themeTint="FF" w:themeShade="FF"/>
          <w:sz w:val="22"/>
          <w:szCs w:val="22"/>
          <w:lang w:val="en-US"/>
        </w:rPr>
        <w:t xml:space="preserve"> Endothelial Shc regulates arteriogenesis through dual control of arterial specification and inflammation via the notch and nuclear factor-kappa-light-chain-enhancer of activated B-cell pathways. </w:t>
      </w:r>
      <w:r w:rsidRPr="1723D76B" w:rsidR="0D74E591">
        <w:rPr>
          <w:rFonts w:ascii="Calibri" w:hAnsi="Calibri" w:eastAsia="Calibri" w:cs="Calibri"/>
          <w:i w:val="1"/>
          <w:iCs w:val="1"/>
          <w:noProof w:val="0"/>
          <w:color w:val="000000" w:themeColor="text1" w:themeTint="FF" w:themeShade="FF"/>
          <w:sz w:val="22"/>
          <w:szCs w:val="22"/>
          <w:lang w:val="en-US"/>
        </w:rPr>
        <w:t>Circ Res</w:t>
      </w:r>
      <w:r w:rsidRPr="1723D76B" w:rsidR="0D74E591">
        <w:rPr>
          <w:rFonts w:ascii="Calibri" w:hAnsi="Calibri" w:eastAsia="Calibri" w:cs="Calibri"/>
          <w:noProof w:val="0"/>
          <w:color w:val="000000" w:themeColor="text1" w:themeTint="FF" w:themeShade="FF"/>
          <w:sz w:val="22"/>
          <w:szCs w:val="22"/>
          <w:lang w:val="en-US"/>
        </w:rPr>
        <w:t xml:space="preserve"> </w:t>
      </w:r>
      <w:r w:rsidRPr="1723D76B" w:rsidR="0D74E591">
        <w:rPr>
          <w:rFonts w:ascii="Calibri" w:hAnsi="Calibri" w:eastAsia="Calibri" w:cs="Calibri"/>
          <w:b w:val="1"/>
          <w:bCs w:val="1"/>
          <w:noProof w:val="0"/>
          <w:color w:val="000000" w:themeColor="text1" w:themeTint="FF" w:themeShade="FF"/>
          <w:sz w:val="22"/>
          <w:szCs w:val="22"/>
          <w:lang w:val="en-US"/>
        </w:rPr>
        <w:t>113</w:t>
      </w:r>
      <w:r w:rsidRPr="1723D76B" w:rsidR="0D74E591">
        <w:rPr>
          <w:rFonts w:ascii="Calibri" w:hAnsi="Calibri" w:eastAsia="Calibri" w:cs="Calibri"/>
          <w:noProof w:val="0"/>
          <w:color w:val="000000" w:themeColor="text1" w:themeTint="FF" w:themeShade="FF"/>
          <w:sz w:val="22"/>
          <w:szCs w:val="22"/>
          <w:lang w:val="en-US"/>
        </w:rPr>
        <w:t>, 32-39, doi:10.1161/CIRCRESAHA.113.301407 (2013).</w:t>
      </w:r>
    </w:p>
    <w:p w:rsidR="0D74E591" w:rsidP="1723D76B" w:rsidRDefault="0D74E591" w14:paraId="51AFDD9E" w14:textId="55C6007C">
      <w:pPr>
        <w:numPr>
          <w:ilvl w:val="0"/>
          <w:numId w:val="11"/>
        </w:numPr>
        <w:rPr>
          <w:rFonts w:ascii="Calibri" w:hAnsi="Calibri" w:eastAsia="Calibri" w:cs="Calibri"/>
          <w:noProof w:val="0"/>
          <w:color w:val="000000" w:themeColor="text1" w:themeTint="FF" w:themeShade="FF"/>
          <w:sz w:val="22"/>
          <w:szCs w:val="22"/>
          <w:lang w:val="en-US"/>
        </w:rPr>
      </w:pPr>
      <w:r w:rsidRPr="1723D76B" w:rsidR="0D74E591">
        <w:rPr>
          <w:rFonts w:ascii="Calibri" w:hAnsi="Calibri" w:eastAsia="Calibri" w:cs="Calibri"/>
          <w:noProof w:val="0"/>
          <w:color w:val="000000" w:themeColor="text1" w:themeTint="FF" w:themeShade="FF"/>
          <w:sz w:val="22"/>
          <w:szCs w:val="22"/>
          <w:lang w:val="en-US"/>
        </w:rPr>
        <w:t xml:space="preserve">3          Liu, Y., Sweet, D. T., Irani-Tehrani, M., Maeda, N. &amp; Tzima, E. Shc coordinates signals from intercellular junctions and integrins to regulate flow-induced inflammation. </w:t>
      </w:r>
      <w:r w:rsidRPr="1723D76B" w:rsidR="0D74E591">
        <w:rPr>
          <w:rFonts w:ascii="Calibri" w:hAnsi="Calibri" w:eastAsia="Calibri" w:cs="Calibri"/>
          <w:i w:val="1"/>
          <w:iCs w:val="1"/>
          <w:noProof w:val="0"/>
          <w:color w:val="000000" w:themeColor="text1" w:themeTint="FF" w:themeShade="FF"/>
          <w:sz w:val="22"/>
          <w:szCs w:val="22"/>
          <w:lang w:val="en-US"/>
        </w:rPr>
        <w:t>J Cell Biol</w:t>
      </w:r>
      <w:r w:rsidRPr="1723D76B" w:rsidR="0D74E591">
        <w:rPr>
          <w:rFonts w:ascii="Calibri" w:hAnsi="Calibri" w:eastAsia="Calibri" w:cs="Calibri"/>
          <w:noProof w:val="0"/>
          <w:color w:val="000000" w:themeColor="text1" w:themeTint="FF" w:themeShade="FF"/>
          <w:sz w:val="22"/>
          <w:szCs w:val="22"/>
          <w:lang w:val="en-US"/>
        </w:rPr>
        <w:t xml:space="preserve"> </w:t>
      </w:r>
      <w:r w:rsidRPr="1723D76B" w:rsidR="0D74E591">
        <w:rPr>
          <w:rFonts w:ascii="Calibri" w:hAnsi="Calibri" w:eastAsia="Calibri" w:cs="Calibri"/>
          <w:b w:val="1"/>
          <w:bCs w:val="1"/>
          <w:noProof w:val="0"/>
          <w:color w:val="000000" w:themeColor="text1" w:themeTint="FF" w:themeShade="FF"/>
          <w:sz w:val="22"/>
          <w:szCs w:val="22"/>
          <w:lang w:val="en-US"/>
        </w:rPr>
        <w:t>182</w:t>
      </w:r>
      <w:r w:rsidRPr="1723D76B" w:rsidR="0D74E591">
        <w:rPr>
          <w:rFonts w:ascii="Calibri" w:hAnsi="Calibri" w:eastAsia="Calibri" w:cs="Calibri"/>
          <w:noProof w:val="0"/>
          <w:color w:val="000000" w:themeColor="text1" w:themeTint="FF" w:themeShade="FF"/>
          <w:sz w:val="22"/>
          <w:szCs w:val="22"/>
          <w:lang w:val="en-US"/>
        </w:rPr>
        <w:t>, 185-196, doi:10.1083/jcb.200709176 (2008).</w:t>
      </w:r>
    </w:p>
    <w:p w:rsidR="1723D76B" w:rsidP="1723D76B" w:rsidRDefault="1723D76B" w14:paraId="57AA7FDC" w14:textId="27B13BB1">
      <w:pPr>
        <w:numPr>
          <w:ilvl w:val="0"/>
          <w:numId w:val="11"/>
        </w:numPr>
        <w:rPr>
          <w:rFonts w:ascii="Calibri" w:hAnsi="Calibri" w:eastAsia="Calibri" w:cs="Calibri"/>
          <w:noProof w:val="0"/>
          <w:color w:val="000000" w:themeColor="text1" w:themeTint="FF" w:themeShade="FF"/>
          <w:sz w:val="22"/>
          <w:szCs w:val="22"/>
          <w:lang w:val="en-GB"/>
        </w:rPr>
      </w:pPr>
    </w:p>
    <w:sectPr w:rsidR="7FB932B3">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5360" w:rsidRDefault="00865360" w14:paraId="41111FBD" w14:textId="77777777">
      <w:pPr>
        <w:spacing w:after="0" w:line="240" w:lineRule="auto"/>
      </w:pPr>
      <w:r>
        <w:separator/>
      </w:r>
    </w:p>
  </w:endnote>
  <w:endnote w:type="continuationSeparator" w:id="0">
    <w:p w:rsidR="00865360" w:rsidRDefault="00865360" w14:paraId="72F6BBE4" w14:textId="77777777">
      <w:pPr>
        <w:spacing w:after="0" w:line="240" w:lineRule="auto"/>
      </w:pPr>
      <w:r>
        <w:continuationSeparator/>
      </w:r>
    </w:p>
  </w:endnote>
  <w:endnote w:type="continuationNotice" w:id="1">
    <w:p w:rsidR="00865360" w:rsidRDefault="00865360" w14:paraId="6A5ACD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5360" w:rsidRDefault="00865360" w14:paraId="610675E3" w14:textId="77777777">
      <w:pPr>
        <w:spacing w:after="0" w:line="240" w:lineRule="auto"/>
      </w:pPr>
      <w:r>
        <w:separator/>
      </w:r>
    </w:p>
  </w:footnote>
  <w:footnote w:type="continuationSeparator" w:id="0">
    <w:p w:rsidR="00865360" w:rsidRDefault="00865360" w14:paraId="329F0A4C" w14:textId="77777777">
      <w:pPr>
        <w:spacing w:after="0" w:line="240" w:lineRule="auto"/>
      </w:pPr>
      <w:r>
        <w:continuationSeparator/>
      </w:r>
    </w:p>
  </w:footnote>
  <w:footnote w:type="continuationNotice" w:id="1">
    <w:p w:rsidR="00865360" w:rsidRDefault="00865360" w14:paraId="26BD44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0">
    <w:nsid w:val="757e7c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1">
    <w:abstractNumId w:val="10"/>
  </w: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4F3469"/>
    <w:rsid w:val="00517D7C"/>
    <w:rsid w:val="00561C76"/>
    <w:rsid w:val="005808C6"/>
    <w:rsid w:val="005A096A"/>
    <w:rsid w:val="005A39D0"/>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65360"/>
    <w:rsid w:val="008813B3"/>
    <w:rsid w:val="00897696"/>
    <w:rsid w:val="008C6A4B"/>
    <w:rsid w:val="00904427"/>
    <w:rsid w:val="009171AD"/>
    <w:rsid w:val="00960A90"/>
    <w:rsid w:val="009E6E0B"/>
    <w:rsid w:val="009F7259"/>
    <w:rsid w:val="00A33B99"/>
    <w:rsid w:val="00A450B2"/>
    <w:rsid w:val="00A8315D"/>
    <w:rsid w:val="00AC578C"/>
    <w:rsid w:val="00AC6D23"/>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1A8ECAF"/>
    <w:rsid w:val="0239441B"/>
    <w:rsid w:val="029D2AF0"/>
    <w:rsid w:val="02C59DD6"/>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4EFB84"/>
    <w:rsid w:val="0D5D3FB3"/>
    <w:rsid w:val="0D74E591"/>
    <w:rsid w:val="0D952527"/>
    <w:rsid w:val="0DE327E1"/>
    <w:rsid w:val="0E12A406"/>
    <w:rsid w:val="0E433199"/>
    <w:rsid w:val="0E67C3C5"/>
    <w:rsid w:val="0EAD8D37"/>
    <w:rsid w:val="100B5E48"/>
    <w:rsid w:val="11C45497"/>
    <w:rsid w:val="12413528"/>
    <w:rsid w:val="13088B6B"/>
    <w:rsid w:val="130EE4C6"/>
    <w:rsid w:val="13329FFA"/>
    <w:rsid w:val="13765816"/>
    <w:rsid w:val="13A514AB"/>
    <w:rsid w:val="15B34A6C"/>
    <w:rsid w:val="15FEB8A1"/>
    <w:rsid w:val="166F013C"/>
    <w:rsid w:val="16CC2102"/>
    <w:rsid w:val="1723D76B"/>
    <w:rsid w:val="1740FF9B"/>
    <w:rsid w:val="178FEB03"/>
    <w:rsid w:val="1940C1DB"/>
    <w:rsid w:val="195CA00F"/>
    <w:rsid w:val="199CA80E"/>
    <w:rsid w:val="19B73C71"/>
    <w:rsid w:val="1A14562F"/>
    <w:rsid w:val="1A1DE14E"/>
    <w:rsid w:val="1A50A5A2"/>
    <w:rsid w:val="1A649856"/>
    <w:rsid w:val="1B8C2E99"/>
    <w:rsid w:val="1BA750E7"/>
    <w:rsid w:val="1BB02690"/>
    <w:rsid w:val="1D61E19C"/>
    <w:rsid w:val="1DB7BB0C"/>
    <w:rsid w:val="1E3E756B"/>
    <w:rsid w:val="1E925C02"/>
    <w:rsid w:val="1EF6049A"/>
    <w:rsid w:val="1FFA2BC4"/>
    <w:rsid w:val="208397B3"/>
    <w:rsid w:val="215B5160"/>
    <w:rsid w:val="21ABABC4"/>
    <w:rsid w:val="21E1B1AA"/>
    <w:rsid w:val="22D386E4"/>
    <w:rsid w:val="2319A143"/>
    <w:rsid w:val="23732B3D"/>
    <w:rsid w:val="2383C276"/>
    <w:rsid w:val="23EFDB23"/>
    <w:rsid w:val="249FF6DA"/>
    <w:rsid w:val="24C3527C"/>
    <w:rsid w:val="24D50D3D"/>
    <w:rsid w:val="2572A3EA"/>
    <w:rsid w:val="25D3F2FF"/>
    <w:rsid w:val="26489901"/>
    <w:rsid w:val="264A90C1"/>
    <w:rsid w:val="26DEED18"/>
    <w:rsid w:val="273743E8"/>
    <w:rsid w:val="27BBDC94"/>
    <w:rsid w:val="27CD38C5"/>
    <w:rsid w:val="27D7979C"/>
    <w:rsid w:val="281495CB"/>
    <w:rsid w:val="283123BB"/>
    <w:rsid w:val="29496291"/>
    <w:rsid w:val="29EF50BC"/>
    <w:rsid w:val="29EFE325"/>
    <w:rsid w:val="29F2792C"/>
    <w:rsid w:val="2A721231"/>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245107"/>
    <w:rsid w:val="32B88EEE"/>
    <w:rsid w:val="332C6C83"/>
    <w:rsid w:val="3330A8A3"/>
    <w:rsid w:val="33389629"/>
    <w:rsid w:val="33B09675"/>
    <w:rsid w:val="35E3DEAF"/>
    <w:rsid w:val="363DDADF"/>
    <w:rsid w:val="367036EB"/>
    <w:rsid w:val="370786B2"/>
    <w:rsid w:val="37DDC092"/>
    <w:rsid w:val="38220780"/>
    <w:rsid w:val="38FD6C5F"/>
    <w:rsid w:val="39AD96E3"/>
    <w:rsid w:val="39CE777C"/>
    <w:rsid w:val="3A2A4A75"/>
    <w:rsid w:val="3A63B6FF"/>
    <w:rsid w:val="3A97EFC6"/>
    <w:rsid w:val="3AE2072F"/>
    <w:rsid w:val="3AE93F0C"/>
    <w:rsid w:val="3B2A7FB1"/>
    <w:rsid w:val="3B39B9A6"/>
    <w:rsid w:val="3B6A47DD"/>
    <w:rsid w:val="3C16551E"/>
    <w:rsid w:val="3D0C7D58"/>
    <w:rsid w:val="3D5DAE8B"/>
    <w:rsid w:val="3D6BFE41"/>
    <w:rsid w:val="3D896232"/>
    <w:rsid w:val="3EE970AA"/>
    <w:rsid w:val="3F379780"/>
    <w:rsid w:val="3F6AD487"/>
    <w:rsid w:val="40109073"/>
    <w:rsid w:val="403DB900"/>
    <w:rsid w:val="4106CDEE"/>
    <w:rsid w:val="4194C907"/>
    <w:rsid w:val="41D98961"/>
    <w:rsid w:val="425849C8"/>
    <w:rsid w:val="42DA802B"/>
    <w:rsid w:val="43122E7E"/>
    <w:rsid w:val="432DFCBC"/>
    <w:rsid w:val="432E37C4"/>
    <w:rsid w:val="43523DDE"/>
    <w:rsid w:val="4365F65B"/>
    <w:rsid w:val="437559C2"/>
    <w:rsid w:val="43A6A1BB"/>
    <w:rsid w:val="43BE690D"/>
    <w:rsid w:val="44CA0825"/>
    <w:rsid w:val="44EA8A54"/>
    <w:rsid w:val="45368AFC"/>
    <w:rsid w:val="45793D8F"/>
    <w:rsid w:val="45AD1135"/>
    <w:rsid w:val="460E7DE5"/>
    <w:rsid w:val="461A27C0"/>
    <w:rsid w:val="474CE749"/>
    <w:rsid w:val="47842339"/>
    <w:rsid w:val="47D1196B"/>
    <w:rsid w:val="48016DDF"/>
    <w:rsid w:val="48185DDB"/>
    <w:rsid w:val="4844AB5C"/>
    <w:rsid w:val="486969FB"/>
    <w:rsid w:val="48945806"/>
    <w:rsid w:val="48C510A1"/>
    <w:rsid w:val="4971B1A7"/>
    <w:rsid w:val="49F502F7"/>
    <w:rsid w:val="4A51DD42"/>
    <w:rsid w:val="4A7B3E9E"/>
    <w:rsid w:val="4AC4CA22"/>
    <w:rsid w:val="4AD6929B"/>
    <w:rsid w:val="4B010577"/>
    <w:rsid w:val="4B1F9F98"/>
    <w:rsid w:val="4B3949A9"/>
    <w:rsid w:val="4BE68199"/>
    <w:rsid w:val="4C15D40A"/>
    <w:rsid w:val="4C22DE7E"/>
    <w:rsid w:val="4CD51A0A"/>
    <w:rsid w:val="4CD64746"/>
    <w:rsid w:val="4D3F562B"/>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61DAD1"/>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7EA6D2"/>
    <w:rsid w:val="68BBD82B"/>
    <w:rsid w:val="696890E2"/>
    <w:rsid w:val="6A2CC60B"/>
    <w:rsid w:val="6A7A4237"/>
    <w:rsid w:val="6AF70C2A"/>
    <w:rsid w:val="6B1B4B29"/>
    <w:rsid w:val="6B34DC6F"/>
    <w:rsid w:val="6BDBAAB7"/>
    <w:rsid w:val="6BE7ABDD"/>
    <w:rsid w:val="6C9AF895"/>
    <w:rsid w:val="6D114881"/>
    <w:rsid w:val="6D398FB6"/>
    <w:rsid w:val="6D4EBD64"/>
    <w:rsid w:val="6D58352E"/>
    <w:rsid w:val="6DC298CF"/>
    <w:rsid w:val="6DF52206"/>
    <w:rsid w:val="6E087F86"/>
    <w:rsid w:val="6E0A3DBB"/>
    <w:rsid w:val="6EA902E9"/>
    <w:rsid w:val="6F139538"/>
    <w:rsid w:val="6F52E9CD"/>
    <w:rsid w:val="6F57A45F"/>
    <w:rsid w:val="6F5E6930"/>
    <w:rsid w:val="6FE811A6"/>
    <w:rsid w:val="70998929"/>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07D18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ell.ox.ac.uk/people/ellie-tzima"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25100-E397-4A5B-888E-9E8A1C84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Ellie Tzima</lastModifiedBy>
  <revision>5</revision>
  <dcterms:created xsi:type="dcterms:W3CDTF">2021-07-01T16:19:00.0000000Z</dcterms:created>
  <dcterms:modified xsi:type="dcterms:W3CDTF">2022-09-25T17:43:58.1508675Z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